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CA" w:rsidRPr="00DD766B" w:rsidRDefault="00085CCA" w:rsidP="00085CCA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>R E L A C I O N</w:t>
      </w:r>
    </w:p>
    <w:p w:rsidR="00085CCA" w:rsidRPr="00DD766B" w:rsidRDefault="00085CCA" w:rsidP="00085CCA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>M B I</w:t>
      </w:r>
    </w:p>
    <w:p w:rsidR="00085CCA" w:rsidRPr="00DD766B" w:rsidRDefault="002F03FE" w:rsidP="00085CCA">
      <w:pPr>
        <w:pStyle w:val="Default"/>
        <w:jc w:val="center"/>
        <w:rPr>
          <w:b/>
          <w:lang w:val="sq-AL"/>
        </w:rPr>
      </w:pPr>
      <w:r w:rsidRPr="00DD766B">
        <w:rPr>
          <w:b/>
          <w:lang w:val="sq-AL"/>
        </w:rPr>
        <w:t xml:space="preserve">PROJEKTLIGJIN “PËR DISA </w:t>
      </w:r>
      <w:r>
        <w:rPr>
          <w:b/>
          <w:lang w:val="sq-AL"/>
        </w:rPr>
        <w:t xml:space="preserve">SHTESA DHE NDRYSHIME </w:t>
      </w:r>
      <w:r w:rsidRPr="00DD766B">
        <w:rPr>
          <w:b/>
          <w:lang w:val="sq-AL"/>
        </w:rPr>
        <w:t>NË LIGJIN NR.</w:t>
      </w:r>
      <w:r>
        <w:rPr>
          <w:b/>
          <w:lang w:val="sq-AL"/>
        </w:rPr>
        <w:t xml:space="preserve"> </w:t>
      </w:r>
      <w:r w:rsidRPr="00DD766B">
        <w:rPr>
          <w:b/>
          <w:bCs/>
          <w:lang w:val="sq-AL"/>
        </w:rPr>
        <w:t xml:space="preserve">92/2014 </w:t>
      </w:r>
      <w:r w:rsidRPr="00DD766B">
        <w:rPr>
          <w:b/>
          <w:lang w:val="sq-AL"/>
        </w:rPr>
        <w:t>“PËR TATIMIN MBI VLERËN E SHTUAR</w:t>
      </w:r>
      <w:r>
        <w:rPr>
          <w:b/>
          <w:lang w:val="sq-AL"/>
        </w:rPr>
        <w:t xml:space="preserve"> NË REPUBLIKËN E SHQIPËRISË</w:t>
      </w:r>
      <w:r w:rsidRPr="00DD766B">
        <w:rPr>
          <w:b/>
          <w:lang w:val="sq-AL"/>
        </w:rPr>
        <w:t>, TË NDRYSHUAR”</w:t>
      </w:r>
    </w:p>
    <w:p w:rsidR="00085CCA" w:rsidRPr="00DD766B" w:rsidRDefault="00085CCA" w:rsidP="00085CC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85CCA" w:rsidRPr="00DD766B" w:rsidRDefault="00085CCA" w:rsidP="00085CCA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>QËLLIMI I PROJEKTLIGJIT DHE O</w:t>
      </w:r>
      <w:r w:rsidR="00ED0D14" w:rsidRPr="00DD766B">
        <w:rPr>
          <w:rFonts w:ascii="Times New Roman" w:hAnsi="Times New Roman"/>
          <w:b/>
          <w:sz w:val="24"/>
          <w:szCs w:val="24"/>
          <w:lang w:val="sq-AL"/>
        </w:rPr>
        <w:t>BJEKTIVAT QË SYNOHEN TË ARRIHEN.</w:t>
      </w:r>
    </w:p>
    <w:p w:rsidR="00085CCA" w:rsidRPr="00DD766B" w:rsidRDefault="00085CCA" w:rsidP="00085CC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085CCA" w:rsidRPr="00DD766B" w:rsidRDefault="00085CCA" w:rsidP="008A0F6E">
      <w:pPr>
        <w:pStyle w:val="Default"/>
        <w:spacing w:line="276" w:lineRule="auto"/>
        <w:jc w:val="both"/>
        <w:rPr>
          <w:lang w:val="sq-AL"/>
        </w:rPr>
      </w:pPr>
      <w:r w:rsidRPr="00DD766B">
        <w:rPr>
          <w:lang w:val="sq-AL"/>
        </w:rPr>
        <w:t>Për</w:t>
      </w:r>
      <w:r w:rsidR="00177470" w:rsidRPr="00DD766B">
        <w:rPr>
          <w:lang w:val="sq-AL"/>
        </w:rPr>
        <w:t>gatitja e projektligjit “Për disa shtesa</w:t>
      </w:r>
      <w:r w:rsidR="001C066C" w:rsidRPr="00DD766B">
        <w:rPr>
          <w:lang w:val="sq-AL"/>
        </w:rPr>
        <w:t xml:space="preserve"> në ligjin nr.</w:t>
      </w:r>
      <w:r w:rsidRPr="00DD766B">
        <w:rPr>
          <w:bCs/>
          <w:lang w:val="sq-AL"/>
        </w:rPr>
        <w:t xml:space="preserve">92/2014 </w:t>
      </w:r>
      <w:r w:rsidRPr="00DD766B">
        <w:rPr>
          <w:lang w:val="sq-AL"/>
        </w:rPr>
        <w:t>“Për tatimin mbi vlerën e shtuar</w:t>
      </w:r>
      <w:r w:rsidR="002F03FE">
        <w:rPr>
          <w:lang w:val="sq-AL"/>
        </w:rPr>
        <w:t xml:space="preserve"> në Republikën e Shqipërisë</w:t>
      </w:r>
      <w:r w:rsidRPr="00DD766B">
        <w:rPr>
          <w:lang w:val="sq-AL"/>
        </w:rPr>
        <w:t xml:space="preserve">” </w:t>
      </w:r>
      <w:r w:rsidR="004B4A11">
        <w:rPr>
          <w:lang w:val="sq-AL"/>
        </w:rPr>
        <w:t>t</w:t>
      </w:r>
      <w:r w:rsidR="002E590F">
        <w:rPr>
          <w:lang w:val="sq-AL"/>
        </w:rPr>
        <w:t>ë</w:t>
      </w:r>
      <w:r w:rsidR="004B4A11">
        <w:rPr>
          <w:lang w:val="sq-AL"/>
        </w:rPr>
        <w:t xml:space="preserve"> ndryshuar </w:t>
      </w:r>
      <w:r w:rsidRPr="00DD766B">
        <w:rPr>
          <w:lang w:val="sq-AL"/>
        </w:rPr>
        <w:t>është mbështetur në nenet: 78, 83 pika 1, dhe 155, të Kushtetutës.</w:t>
      </w:r>
    </w:p>
    <w:p w:rsidR="00085CCA" w:rsidRPr="00DD766B" w:rsidRDefault="00085CCA" w:rsidP="008A0F6E">
      <w:pPr>
        <w:pStyle w:val="Default"/>
        <w:spacing w:line="276" w:lineRule="auto"/>
        <w:rPr>
          <w:lang w:val="sq-AL"/>
        </w:rPr>
      </w:pPr>
    </w:p>
    <w:p w:rsidR="00343DB1" w:rsidRPr="00DD766B" w:rsidRDefault="00074040" w:rsidP="008A0F6E">
      <w:pPr>
        <w:pStyle w:val="Default"/>
        <w:spacing w:line="276" w:lineRule="auto"/>
        <w:jc w:val="both"/>
        <w:rPr>
          <w:lang w:val="sq-AL"/>
        </w:rPr>
      </w:pPr>
      <w:r w:rsidRPr="00DD766B">
        <w:rPr>
          <w:lang w:val="sq-AL"/>
        </w:rPr>
        <w:t xml:space="preserve">Sektori i turizmit </w:t>
      </w:r>
      <w:r w:rsidR="00A54CA5" w:rsidRPr="00DD766B">
        <w:rPr>
          <w:lang w:val="sq-AL"/>
        </w:rPr>
        <w:t>ë</w:t>
      </w:r>
      <w:r w:rsidR="00A16CBB" w:rsidRPr="00DD766B">
        <w:rPr>
          <w:lang w:val="sq-AL"/>
        </w:rPr>
        <w:t>sht</w:t>
      </w:r>
      <w:r w:rsidR="00A54CA5" w:rsidRPr="00DD766B">
        <w:rPr>
          <w:lang w:val="sq-AL"/>
        </w:rPr>
        <w:t>ë</w:t>
      </w:r>
      <w:r w:rsidR="00A16CBB" w:rsidRPr="00DD766B">
        <w:rPr>
          <w:lang w:val="sq-AL"/>
        </w:rPr>
        <w:t xml:space="preserve"> nj</w:t>
      </w:r>
      <w:r w:rsidR="00A54CA5" w:rsidRPr="00DD766B">
        <w:rPr>
          <w:lang w:val="sq-AL"/>
        </w:rPr>
        <w:t>ë</w:t>
      </w:r>
      <w:r w:rsidR="00A16CBB" w:rsidRPr="00DD766B">
        <w:rPr>
          <w:lang w:val="sq-AL"/>
        </w:rPr>
        <w:t xml:space="preserve"> </w:t>
      </w:r>
      <w:r w:rsidRPr="00DD766B">
        <w:rPr>
          <w:lang w:val="sq-AL"/>
        </w:rPr>
        <w:t>nga kontribuesit kryesor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n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ekonomin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shqiptare, duke pasur nj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trend pozitiv </w:t>
      </w:r>
      <w:r w:rsidR="00E15606" w:rsidRPr="00DD766B">
        <w:rPr>
          <w:lang w:val="sq-AL"/>
        </w:rPr>
        <w:t xml:space="preserve">gjithnjë e </w:t>
      </w:r>
      <w:r w:rsidRPr="00DD766B">
        <w:rPr>
          <w:lang w:val="sq-AL"/>
        </w:rPr>
        <w:t>n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rritje. N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m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>nyr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q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t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krijojm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kushte sa m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konkuruese n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rajon dhe t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nxisim prezenc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>n n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tregun shqiptar t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“brand-ve” t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 mir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>njohura nd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>rkomb</w:t>
      </w:r>
      <w:r w:rsidR="00E15606" w:rsidRPr="00DD766B">
        <w:rPr>
          <w:lang w:val="sq-AL"/>
        </w:rPr>
        <w:t>ë</w:t>
      </w:r>
      <w:r w:rsidRPr="00DD766B">
        <w:rPr>
          <w:lang w:val="sq-AL"/>
        </w:rPr>
        <w:t xml:space="preserve">tarisht, propozohet </w:t>
      </w:r>
      <w:r w:rsidR="00DD2805" w:rsidRPr="00DD766B">
        <w:rPr>
          <w:lang w:val="sq-AL"/>
        </w:rPr>
        <w:t>incentiva q</w:t>
      </w:r>
      <w:r w:rsidR="00E15606" w:rsidRPr="00DD766B">
        <w:rPr>
          <w:lang w:val="sq-AL"/>
        </w:rPr>
        <w:t>ë</w:t>
      </w:r>
      <w:r w:rsidR="000318D2">
        <w:rPr>
          <w:lang w:val="sq-AL"/>
        </w:rPr>
        <w:t xml:space="preserve"> </w:t>
      </w:r>
      <w:r w:rsidR="00343DB1" w:rsidRPr="00DD766B">
        <w:rPr>
          <w:lang w:val="sq-AL"/>
        </w:rPr>
        <w:t>brenda k</w:t>
      </w:r>
      <w:r w:rsidR="00E15606" w:rsidRPr="00DD766B">
        <w:rPr>
          <w:lang w:val="sq-AL"/>
        </w:rPr>
        <w:t>ë</w:t>
      </w:r>
      <w:r w:rsidR="00343DB1" w:rsidRPr="00DD766B">
        <w:rPr>
          <w:lang w:val="sq-AL"/>
        </w:rPr>
        <w:t>saj kategorie struktu</w:t>
      </w:r>
      <w:bookmarkStart w:id="0" w:name="_GoBack"/>
      <w:bookmarkEnd w:id="0"/>
      <w:r w:rsidR="00343DB1" w:rsidRPr="00DD766B">
        <w:rPr>
          <w:lang w:val="sq-AL"/>
        </w:rPr>
        <w:t xml:space="preserve">rash akomoduese, </w:t>
      </w:r>
      <w:r w:rsidR="000318D2">
        <w:rPr>
          <w:lang w:val="sq-AL"/>
        </w:rPr>
        <w:t>sh</w:t>
      </w:r>
      <w:r w:rsidR="002E590F">
        <w:rPr>
          <w:lang w:val="sq-AL"/>
        </w:rPr>
        <w:t>ë</w:t>
      </w:r>
      <w:r w:rsidR="000318D2">
        <w:rPr>
          <w:lang w:val="sq-AL"/>
        </w:rPr>
        <w:t>rbimet t</w:t>
      </w:r>
      <w:r w:rsidR="002E590F">
        <w:rPr>
          <w:lang w:val="sq-AL"/>
        </w:rPr>
        <w:t>ë</w:t>
      </w:r>
      <w:r w:rsidR="00DD2805" w:rsidRPr="00DD766B">
        <w:rPr>
          <w:lang w:val="sq-AL"/>
        </w:rPr>
        <w:t xml:space="preserve"> ofrohe</w:t>
      </w:r>
      <w:r w:rsidR="000318D2">
        <w:rPr>
          <w:lang w:val="sq-AL"/>
        </w:rPr>
        <w:t>n</w:t>
      </w:r>
      <w:r w:rsidR="00DD2805" w:rsidRPr="00DD766B">
        <w:rPr>
          <w:lang w:val="sq-AL"/>
        </w:rPr>
        <w:t xml:space="preserve"> me shkall</w:t>
      </w:r>
      <w:r w:rsidR="00E15606" w:rsidRPr="00DD766B">
        <w:rPr>
          <w:lang w:val="sq-AL"/>
        </w:rPr>
        <w:t>ë</w:t>
      </w:r>
      <w:r w:rsidR="00DD2805" w:rsidRPr="00DD766B">
        <w:rPr>
          <w:lang w:val="sq-AL"/>
        </w:rPr>
        <w:t xml:space="preserve"> t</w:t>
      </w:r>
      <w:r w:rsidR="00E15606" w:rsidRPr="00DD766B">
        <w:rPr>
          <w:lang w:val="sq-AL"/>
        </w:rPr>
        <w:t>ë</w:t>
      </w:r>
      <w:r w:rsidR="00DD2805" w:rsidRPr="00DD766B">
        <w:rPr>
          <w:lang w:val="sq-AL"/>
        </w:rPr>
        <w:t xml:space="preserve"> reduktuar t</w:t>
      </w:r>
      <w:r w:rsidR="00E15606" w:rsidRPr="00DD766B">
        <w:rPr>
          <w:lang w:val="sq-AL"/>
        </w:rPr>
        <w:t>ë</w:t>
      </w:r>
      <w:r w:rsidR="00DD2805" w:rsidRPr="00DD766B">
        <w:rPr>
          <w:lang w:val="sq-AL"/>
        </w:rPr>
        <w:t xml:space="preserve"> Tatimit mbi Vler</w:t>
      </w:r>
      <w:r w:rsidR="00E15606" w:rsidRPr="00DD766B">
        <w:rPr>
          <w:lang w:val="sq-AL"/>
        </w:rPr>
        <w:t>ë</w:t>
      </w:r>
      <w:r w:rsidR="00DD2805" w:rsidRPr="00DD766B">
        <w:rPr>
          <w:lang w:val="sq-AL"/>
        </w:rPr>
        <w:t>n e Shtuar.</w:t>
      </w:r>
      <w:r w:rsidR="00343DB1" w:rsidRPr="00DD766B">
        <w:rPr>
          <w:lang w:val="sq-AL"/>
        </w:rPr>
        <w:t xml:space="preserve"> </w:t>
      </w:r>
    </w:p>
    <w:p w:rsidR="00DD2805" w:rsidRPr="00DD766B" w:rsidRDefault="00DD2805" w:rsidP="008A0F6E">
      <w:pPr>
        <w:pStyle w:val="Default"/>
        <w:spacing w:line="276" w:lineRule="auto"/>
        <w:jc w:val="both"/>
        <w:rPr>
          <w:lang w:val="sq-AL"/>
        </w:rPr>
      </w:pPr>
    </w:p>
    <w:p w:rsidR="00C571F9" w:rsidRPr="00DD766B" w:rsidRDefault="001C066C" w:rsidP="008A0F6E">
      <w:pPr>
        <w:pStyle w:val="Default"/>
        <w:spacing w:line="276" w:lineRule="auto"/>
        <w:jc w:val="both"/>
        <w:rPr>
          <w:lang w:val="sq-AL"/>
        </w:rPr>
      </w:pPr>
      <w:r w:rsidRPr="00DD766B">
        <w:rPr>
          <w:lang w:val="sq-AL"/>
        </w:rPr>
        <w:t>Ligji nr.</w:t>
      </w:r>
      <w:r w:rsidR="00DD2805" w:rsidRPr="00DD766B">
        <w:rPr>
          <w:lang w:val="sq-AL"/>
        </w:rPr>
        <w:t xml:space="preserve"> </w:t>
      </w:r>
      <w:r w:rsidR="00A73FF8" w:rsidRPr="00DD766B">
        <w:rPr>
          <w:lang w:val="sq-AL"/>
        </w:rPr>
        <w:t>92/2014 “P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>r tatimin mbi vler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>n e shtuar n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 xml:space="preserve"> </w:t>
      </w:r>
      <w:r w:rsidR="005A1810" w:rsidRPr="00DD766B">
        <w:rPr>
          <w:lang w:val="sq-AL"/>
        </w:rPr>
        <w:t>Republik</w:t>
      </w:r>
      <w:r w:rsidR="00350218" w:rsidRPr="00DD766B">
        <w:rPr>
          <w:lang w:val="sq-AL"/>
        </w:rPr>
        <w:t>ë</w:t>
      </w:r>
      <w:r w:rsidR="005A1810" w:rsidRPr="00DD766B">
        <w:rPr>
          <w:lang w:val="sq-AL"/>
        </w:rPr>
        <w:t xml:space="preserve">n </w:t>
      </w:r>
      <w:r w:rsidR="00A73FF8" w:rsidRPr="00DD766B">
        <w:rPr>
          <w:lang w:val="sq-AL"/>
        </w:rPr>
        <w:t xml:space="preserve">e </w:t>
      </w:r>
      <w:r w:rsidR="005A1810" w:rsidRPr="00DD766B">
        <w:rPr>
          <w:lang w:val="sq-AL"/>
        </w:rPr>
        <w:t>Shqip</w:t>
      </w:r>
      <w:r w:rsidR="00350218" w:rsidRPr="00DD766B">
        <w:rPr>
          <w:lang w:val="sq-AL"/>
        </w:rPr>
        <w:t>ë</w:t>
      </w:r>
      <w:r w:rsidR="005A1810" w:rsidRPr="00DD766B">
        <w:rPr>
          <w:lang w:val="sq-AL"/>
        </w:rPr>
        <w:t>ris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>” ka synuar p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>rputhshm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>rin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 xml:space="preserve"> me Direktivën </w:t>
      </w:r>
      <w:r w:rsidR="00DF3570" w:rsidRPr="00DD766B">
        <w:rPr>
          <w:lang w:val="sq-AL"/>
        </w:rPr>
        <w:t>e Bashkimit Europian“Mbi sistemin e përbashkët të Tatimit mbi Vlerën e Shtuar”</w:t>
      </w:r>
      <w:r w:rsidR="00A73FF8" w:rsidRPr="00DD766B">
        <w:rPr>
          <w:lang w:val="sq-AL"/>
        </w:rPr>
        <w:t xml:space="preserve"> në Europë (DE 2006/112), n</w:t>
      </w:r>
      <w:r w:rsidR="00350218" w:rsidRPr="00DD766B">
        <w:rPr>
          <w:lang w:val="sq-AL"/>
        </w:rPr>
        <w:t>ë</w:t>
      </w:r>
      <w:r w:rsidR="00A73FF8" w:rsidRPr="00DD766B">
        <w:rPr>
          <w:lang w:val="sq-AL"/>
        </w:rPr>
        <w:t xml:space="preserve"> </w:t>
      </w:r>
      <w:r w:rsidR="003C6F6B" w:rsidRPr="00DD766B">
        <w:rPr>
          <w:lang w:val="sq-AL"/>
        </w:rPr>
        <w:t>K</w:t>
      </w:r>
      <w:r w:rsidR="00A73FF8" w:rsidRPr="00DD766B">
        <w:rPr>
          <w:lang w:val="sq-AL"/>
        </w:rPr>
        <w:t xml:space="preserve">reun VII </w:t>
      </w:r>
      <w:r w:rsidR="005E6731" w:rsidRPr="00DD766B">
        <w:rPr>
          <w:lang w:val="sq-AL"/>
        </w:rPr>
        <w:t xml:space="preserve">(neni </w:t>
      </w:r>
      <w:r w:rsidR="005A1810" w:rsidRPr="00DD766B">
        <w:rPr>
          <w:lang w:val="sq-AL"/>
        </w:rPr>
        <w:t>49</w:t>
      </w:r>
      <w:r w:rsidR="005E6731" w:rsidRPr="00DD766B">
        <w:rPr>
          <w:lang w:val="sq-AL"/>
        </w:rPr>
        <w:t xml:space="preserve"> n</w:t>
      </w:r>
      <w:r w:rsidR="00C571F9" w:rsidRPr="00DD766B">
        <w:rPr>
          <w:lang w:val="sq-AL"/>
        </w:rPr>
        <w:t>ë</w:t>
      </w:r>
      <w:r w:rsidR="005E6731" w:rsidRPr="00DD766B">
        <w:rPr>
          <w:lang w:val="sq-AL"/>
        </w:rPr>
        <w:t xml:space="preserve"> p</w:t>
      </w:r>
      <w:r w:rsidR="00C571F9" w:rsidRPr="00DD766B">
        <w:rPr>
          <w:lang w:val="sq-AL"/>
        </w:rPr>
        <w:t>ë</w:t>
      </w:r>
      <w:r w:rsidR="005E6731" w:rsidRPr="00DD766B">
        <w:rPr>
          <w:lang w:val="sq-AL"/>
        </w:rPr>
        <w:t>rputhje me nenin 98 t</w:t>
      </w:r>
      <w:r w:rsidR="00C571F9" w:rsidRPr="00DD766B">
        <w:rPr>
          <w:lang w:val="sq-AL"/>
        </w:rPr>
        <w:t>ë</w:t>
      </w:r>
      <w:r w:rsidR="005E6731" w:rsidRPr="00DD766B">
        <w:rPr>
          <w:lang w:val="sq-AL"/>
        </w:rPr>
        <w:t xml:space="preserve"> Direktiv</w:t>
      </w:r>
      <w:r w:rsidR="00C571F9" w:rsidRPr="00DD766B">
        <w:rPr>
          <w:lang w:val="sq-AL"/>
        </w:rPr>
        <w:t>ë</w:t>
      </w:r>
      <w:r w:rsidR="005E6731" w:rsidRPr="00DD766B">
        <w:rPr>
          <w:lang w:val="sq-AL"/>
        </w:rPr>
        <w:t>s</w:t>
      </w:r>
      <w:r w:rsidR="005A1810" w:rsidRPr="00DD766B">
        <w:rPr>
          <w:lang w:val="sq-AL"/>
        </w:rPr>
        <w:t>)</w:t>
      </w:r>
      <w:r w:rsidR="005E6731" w:rsidRPr="00DD766B">
        <w:rPr>
          <w:lang w:val="sq-AL"/>
        </w:rPr>
        <w:t xml:space="preserve"> përcakton se </w:t>
      </w:r>
      <w:r w:rsidR="00C571F9" w:rsidRPr="00DD766B">
        <w:rPr>
          <w:lang w:val="sq-AL"/>
        </w:rPr>
        <w:t xml:space="preserve">përveç shkallës standarde </w:t>
      </w:r>
      <w:r w:rsidR="005E6731" w:rsidRPr="00DD766B">
        <w:rPr>
          <w:lang w:val="sq-AL"/>
        </w:rPr>
        <w:t>mund të aplikohet shkalla e reduktuar e TVSH-së</w:t>
      </w:r>
      <w:r w:rsidR="00C571F9" w:rsidRPr="00DD766B">
        <w:rPr>
          <w:lang w:val="sq-AL"/>
        </w:rPr>
        <w:t>.</w:t>
      </w:r>
      <w:r w:rsidR="005E6731" w:rsidRPr="00DD766B">
        <w:rPr>
          <w:lang w:val="sq-AL"/>
        </w:rPr>
        <w:t xml:space="preserve"> </w:t>
      </w:r>
    </w:p>
    <w:p w:rsidR="00E15606" w:rsidRPr="00DD766B" w:rsidRDefault="005E6731" w:rsidP="008A0F6E">
      <w:pPr>
        <w:pStyle w:val="Default"/>
        <w:spacing w:line="276" w:lineRule="auto"/>
        <w:jc w:val="both"/>
        <w:rPr>
          <w:lang w:val="sq-AL"/>
        </w:rPr>
      </w:pPr>
      <w:r w:rsidRPr="00DD766B">
        <w:rPr>
          <w:lang w:val="sq-AL"/>
        </w:rPr>
        <w:t>N</w:t>
      </w:r>
      <w:r w:rsidR="00C571F9" w:rsidRPr="00DD766B">
        <w:rPr>
          <w:lang w:val="sq-AL"/>
        </w:rPr>
        <w:t>ë</w:t>
      </w:r>
      <w:r w:rsidRPr="00DD766B">
        <w:rPr>
          <w:lang w:val="sq-AL"/>
        </w:rPr>
        <w:t xml:space="preserve"> zbatim t</w:t>
      </w:r>
      <w:r w:rsidR="00C571F9" w:rsidRPr="00DD766B">
        <w:rPr>
          <w:lang w:val="sq-AL"/>
        </w:rPr>
        <w:t>ë</w:t>
      </w:r>
      <w:r w:rsidRPr="00DD766B">
        <w:rPr>
          <w:lang w:val="sq-AL"/>
        </w:rPr>
        <w:t xml:space="preserve"> k</w:t>
      </w:r>
      <w:r w:rsidR="00C571F9" w:rsidRPr="00DD766B">
        <w:rPr>
          <w:lang w:val="sq-AL"/>
        </w:rPr>
        <w:t>ë</w:t>
      </w:r>
      <w:r w:rsidRPr="00DD766B">
        <w:rPr>
          <w:lang w:val="sq-AL"/>
        </w:rPr>
        <w:t>saj dispozite</w:t>
      </w:r>
      <w:r w:rsidR="00C571F9" w:rsidRPr="00DD766B">
        <w:rPr>
          <w:lang w:val="sq-AL"/>
        </w:rPr>
        <w:t>,</w:t>
      </w:r>
      <w:r w:rsidRPr="00DD766B">
        <w:rPr>
          <w:lang w:val="sq-AL"/>
        </w:rPr>
        <w:t xml:space="preserve"> tashmë me hyrjen në fuqi të Ligjit 71/2017 “Për një shtesë në Ligjin 92/2014 “Për Tatimin mbi Vlerën e Shtuar”, të ndryshuar aplikohet shkalla e reduktuar 6</w:t>
      </w:r>
      <w:r w:rsidR="00DD2805" w:rsidRPr="00DD766B">
        <w:rPr>
          <w:lang w:val="sq-AL"/>
        </w:rPr>
        <w:t xml:space="preserve"> </w:t>
      </w:r>
      <w:r w:rsidRPr="00DD766B">
        <w:rPr>
          <w:lang w:val="sq-AL"/>
        </w:rPr>
        <w:t>% për furnizimin e shërbimit të akomodimit në strukturat akomoduese sipas përcaktimit në legjislacionin e fushës së turizmit.</w:t>
      </w:r>
      <w:r w:rsidR="00C571F9" w:rsidRPr="00DD766B">
        <w:rPr>
          <w:lang w:val="sq-AL"/>
        </w:rPr>
        <w:t xml:space="preserve"> </w:t>
      </w:r>
      <w:r w:rsidR="00A56D44" w:rsidRPr="00DD766B">
        <w:rPr>
          <w:lang w:val="sq-AL"/>
        </w:rPr>
        <w:t>P</w:t>
      </w:r>
      <w:r w:rsidR="00C571F9" w:rsidRPr="00DD766B">
        <w:rPr>
          <w:lang w:val="sq-AL"/>
        </w:rPr>
        <w:t>or</w:t>
      </w:r>
      <w:r w:rsidR="00311EE8" w:rsidRPr="00DD766B">
        <w:rPr>
          <w:lang w:val="sq-AL"/>
        </w:rPr>
        <w:t xml:space="preserve">, nisur </w:t>
      </w:r>
      <w:r w:rsidR="00C571F9" w:rsidRPr="00DD766B">
        <w:rPr>
          <w:lang w:val="sq-AL"/>
        </w:rPr>
        <w:t xml:space="preserve">dhe </w:t>
      </w:r>
      <w:r w:rsidR="00311EE8" w:rsidRPr="00DD766B">
        <w:rPr>
          <w:lang w:val="sq-AL"/>
        </w:rPr>
        <w:t>nga potencialet e m</w:t>
      </w:r>
      <w:r w:rsidR="00C571F9" w:rsidRPr="00DD766B">
        <w:rPr>
          <w:lang w:val="sq-AL"/>
        </w:rPr>
        <w:t>ë</w:t>
      </w:r>
      <w:r w:rsidR="00311EE8" w:rsidRPr="00DD766B">
        <w:rPr>
          <w:lang w:val="sq-AL"/>
        </w:rPr>
        <w:t>dha</w:t>
      </w:r>
      <w:r w:rsidR="004B4A11">
        <w:rPr>
          <w:lang w:val="sq-AL"/>
        </w:rPr>
        <w:t>,</w:t>
      </w:r>
      <w:r w:rsidR="000B2F36" w:rsidRPr="00DD766B">
        <w:rPr>
          <w:lang w:val="sq-AL"/>
        </w:rPr>
        <w:t xml:space="preserve"> si nga pikpamja </w:t>
      </w:r>
      <w:r w:rsidR="00311EE8" w:rsidRPr="00DD766B">
        <w:rPr>
          <w:lang w:val="sq-AL"/>
        </w:rPr>
        <w:t xml:space="preserve">gjeografike, klimaterike, etj </w:t>
      </w:r>
      <w:r w:rsidR="000B2F36" w:rsidRPr="00DD766B">
        <w:rPr>
          <w:lang w:val="sq-AL"/>
        </w:rPr>
        <w:t>n</w:t>
      </w:r>
      <w:r w:rsidR="00C571F9" w:rsidRPr="00DD766B">
        <w:rPr>
          <w:lang w:val="sq-AL"/>
        </w:rPr>
        <w:t>ë</w:t>
      </w:r>
      <w:r w:rsidR="000B2F36" w:rsidRPr="00DD766B">
        <w:rPr>
          <w:lang w:val="sq-AL"/>
        </w:rPr>
        <w:t xml:space="preserve"> fush</w:t>
      </w:r>
      <w:r w:rsidR="00C571F9" w:rsidRPr="00DD766B">
        <w:rPr>
          <w:lang w:val="sq-AL"/>
        </w:rPr>
        <w:t>ë</w:t>
      </w:r>
      <w:r w:rsidR="000B2F36" w:rsidRPr="00DD766B">
        <w:rPr>
          <w:lang w:val="sq-AL"/>
        </w:rPr>
        <w:t xml:space="preserve">n e turzimit </w:t>
      </w:r>
      <w:r w:rsidR="00311EE8" w:rsidRPr="00DD766B">
        <w:rPr>
          <w:lang w:val="sq-AL"/>
        </w:rPr>
        <w:t>q</w:t>
      </w:r>
      <w:r w:rsidR="00C571F9" w:rsidRPr="00DD766B">
        <w:rPr>
          <w:lang w:val="sq-AL"/>
        </w:rPr>
        <w:t>ë</w:t>
      </w:r>
      <w:r w:rsidR="00311EE8" w:rsidRPr="00DD766B">
        <w:rPr>
          <w:lang w:val="sq-AL"/>
        </w:rPr>
        <w:t xml:space="preserve"> ofron vendi yn</w:t>
      </w:r>
      <w:r w:rsidR="00C571F9" w:rsidRPr="00DD766B">
        <w:rPr>
          <w:lang w:val="sq-AL"/>
        </w:rPr>
        <w:t>ë</w:t>
      </w:r>
      <w:r w:rsidR="000B2F36" w:rsidRPr="00DD766B">
        <w:rPr>
          <w:lang w:val="sq-AL"/>
        </w:rPr>
        <w:t xml:space="preserve">, </w:t>
      </w:r>
      <w:r w:rsidR="00311EE8" w:rsidRPr="00DD766B">
        <w:rPr>
          <w:lang w:val="sq-AL"/>
        </w:rPr>
        <w:t xml:space="preserve"> vler</w:t>
      </w:r>
      <w:r w:rsidR="00C571F9" w:rsidRPr="00DD766B">
        <w:rPr>
          <w:lang w:val="sq-AL"/>
        </w:rPr>
        <w:t>ë</w:t>
      </w:r>
      <w:r w:rsidR="00311EE8" w:rsidRPr="00DD766B">
        <w:rPr>
          <w:lang w:val="sq-AL"/>
        </w:rPr>
        <w:t xml:space="preserve">sohet </w:t>
      </w:r>
      <w:r w:rsidR="000B2F36" w:rsidRPr="00DD766B">
        <w:rPr>
          <w:lang w:val="sq-AL"/>
        </w:rPr>
        <w:t>i</w:t>
      </w:r>
      <w:r w:rsidR="00311EE8" w:rsidRPr="00DD766B">
        <w:rPr>
          <w:lang w:val="sq-AL"/>
        </w:rPr>
        <w:t xml:space="preserve"> nevojsh</w:t>
      </w:r>
      <w:r w:rsidR="00C571F9" w:rsidRPr="00DD766B">
        <w:rPr>
          <w:lang w:val="sq-AL"/>
        </w:rPr>
        <w:t>ë</w:t>
      </w:r>
      <w:r w:rsidR="00311EE8" w:rsidRPr="00DD766B">
        <w:rPr>
          <w:lang w:val="sq-AL"/>
        </w:rPr>
        <w:t xml:space="preserve">m promovimi </w:t>
      </w:r>
      <w:r w:rsidR="00C571F9" w:rsidRPr="00DD766B">
        <w:rPr>
          <w:lang w:val="sq-AL"/>
        </w:rPr>
        <w:t xml:space="preserve">dhe incentivimi </w:t>
      </w:r>
      <w:r w:rsidR="00A56D44" w:rsidRPr="00DD766B">
        <w:rPr>
          <w:lang w:val="sq-AL"/>
        </w:rPr>
        <w:t>i nj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</w:t>
      </w:r>
      <w:r w:rsidR="000B2F36" w:rsidRPr="00DD766B">
        <w:rPr>
          <w:lang w:val="sq-AL"/>
        </w:rPr>
        <w:t xml:space="preserve">turizmi </w:t>
      </w:r>
      <w:r w:rsidR="00A56D44" w:rsidRPr="00DD766B">
        <w:rPr>
          <w:lang w:val="sq-AL"/>
        </w:rPr>
        <w:t>gjithnj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e m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shum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</w:t>
      </w:r>
      <w:r w:rsidR="000B2F36" w:rsidRPr="00DD766B">
        <w:rPr>
          <w:lang w:val="sq-AL"/>
        </w:rPr>
        <w:t>elitar</w:t>
      </w:r>
      <w:r w:rsidR="00C571F9" w:rsidRPr="00DD766B">
        <w:rPr>
          <w:lang w:val="sq-AL"/>
        </w:rPr>
        <w:t>, duke ofruar standarte të larta në strukturat akomoduese te nivelit “Hotel me pese yje, status special”</w:t>
      </w:r>
      <w:r w:rsidR="000B2F36" w:rsidRPr="00DD766B">
        <w:rPr>
          <w:lang w:val="sq-AL"/>
        </w:rPr>
        <w:t>.</w:t>
      </w:r>
      <w:r w:rsidR="00A56D44" w:rsidRPr="00DD766B">
        <w:rPr>
          <w:lang w:val="sq-AL"/>
        </w:rPr>
        <w:t xml:space="preserve"> </w:t>
      </w:r>
      <w:r w:rsidR="00C571F9" w:rsidRPr="00DD766B">
        <w:rPr>
          <w:lang w:val="sq-AL"/>
        </w:rPr>
        <w:t xml:space="preserve">Kjo për </w:t>
      </w:r>
      <w:r w:rsidR="00A56D44" w:rsidRPr="00DD766B">
        <w:rPr>
          <w:lang w:val="sq-AL"/>
        </w:rPr>
        <w:t>t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b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>r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t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mundur thithjen e sa m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shum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investitor</w:t>
      </w:r>
      <w:r w:rsidR="00C571F9" w:rsidRPr="00DD766B">
        <w:rPr>
          <w:lang w:val="sq-AL"/>
        </w:rPr>
        <w:t>ë</w:t>
      </w:r>
      <w:r w:rsidR="000E07D4" w:rsidRPr="00DD766B">
        <w:rPr>
          <w:lang w:val="sq-AL"/>
        </w:rPr>
        <w:t>v</w:t>
      </w:r>
      <w:r w:rsidR="00A56D44" w:rsidRPr="00DD766B">
        <w:rPr>
          <w:lang w:val="sq-AL"/>
        </w:rPr>
        <w:t>e t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m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>dhenj n</w:t>
      </w:r>
      <w:r w:rsidR="00C571F9" w:rsidRPr="00DD766B">
        <w:rPr>
          <w:lang w:val="sq-AL"/>
        </w:rPr>
        <w:t>ë</w:t>
      </w:r>
      <w:r w:rsidR="00A56D44" w:rsidRPr="00DD766B">
        <w:rPr>
          <w:lang w:val="sq-AL"/>
        </w:rPr>
        <w:t xml:space="preserve"> vendin ton</w:t>
      </w:r>
      <w:r w:rsidR="00C571F9" w:rsidRPr="00DD766B">
        <w:rPr>
          <w:lang w:val="sq-AL"/>
        </w:rPr>
        <w:t xml:space="preserve">ë, si dhe </w:t>
      </w:r>
      <w:r w:rsidR="000E07D4" w:rsidRPr="00DD766B">
        <w:rPr>
          <w:lang w:val="sq-AL"/>
        </w:rPr>
        <w:t>pranin</w:t>
      </w:r>
      <w:r w:rsidR="000129F0" w:rsidRPr="00DD766B">
        <w:rPr>
          <w:lang w:val="sq-AL"/>
        </w:rPr>
        <w:t>ë</w:t>
      </w:r>
      <w:r w:rsidR="000E07D4" w:rsidRPr="00DD766B">
        <w:rPr>
          <w:lang w:val="sq-AL"/>
        </w:rPr>
        <w:t xml:space="preserve"> e</w:t>
      </w:r>
      <w:r w:rsidR="00C571F9" w:rsidRPr="00DD766B">
        <w:rPr>
          <w:lang w:val="sq-AL"/>
        </w:rPr>
        <w:t xml:space="preserve"> markave të mirënjohura në fushën e hotelerisë</w:t>
      </w:r>
      <w:r w:rsidR="00A56D44" w:rsidRPr="00DD766B">
        <w:rPr>
          <w:lang w:val="sq-AL"/>
        </w:rPr>
        <w:t>.</w:t>
      </w:r>
    </w:p>
    <w:p w:rsidR="00074040" w:rsidRPr="00DD766B" w:rsidRDefault="004D03FB" w:rsidP="008A0F6E">
      <w:pPr>
        <w:pStyle w:val="Default"/>
        <w:spacing w:line="276" w:lineRule="auto"/>
        <w:jc w:val="both"/>
        <w:rPr>
          <w:lang w:val="sq-AL"/>
        </w:rPr>
      </w:pPr>
      <w:r w:rsidRPr="00DD766B">
        <w:rPr>
          <w:lang w:val="sq-AL"/>
        </w:rPr>
        <w:t xml:space="preserve">Vendet fqinjë të rajonit të Ballkanit si Maqedonia, Mali i zi, Serbia, etj parashikojnë lehtësi në tatimin mbi vlerën e shtuar për sektorin e turizmit. </w:t>
      </w:r>
    </w:p>
    <w:p w:rsidR="000B2F36" w:rsidRPr="00DD766B" w:rsidRDefault="000B2F36" w:rsidP="008A0F6E">
      <w:pPr>
        <w:pStyle w:val="Default"/>
        <w:spacing w:line="276" w:lineRule="auto"/>
        <w:jc w:val="both"/>
        <w:rPr>
          <w:lang w:val="sq-AL"/>
        </w:rPr>
      </w:pPr>
      <w:r w:rsidRPr="00DD766B">
        <w:rPr>
          <w:lang w:val="sq-AL"/>
        </w:rPr>
        <w:t xml:space="preserve">Në Direktivën e Bashkimit Europian nr. 2006/112/EC “Mbi sistemin e përbashkët të Tatimit mbi Vlerën e Shtuar”, në shtojcën 3, përcaktohen se cilat janë fushat mbi të cilat mund të aplikohen normat e reduktuara të TVSH-së. ku listohen dhe furnizimet e mjaft shërbimeve dhe mallrave të tjerë mbi të cilat mund të aplikohet norma e reduktuar e TVSH-së, por gjithmonë jo më e lartë se 5%. </w:t>
      </w:r>
    </w:p>
    <w:p w:rsidR="00C571F9" w:rsidRPr="00DD766B" w:rsidRDefault="00C571F9" w:rsidP="008A0F6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8378F" w:rsidRPr="00DD766B" w:rsidRDefault="003F79A9" w:rsidP="008A0F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D</w:t>
      </w:r>
      <w:r w:rsidR="0038378F" w:rsidRPr="00DD766B">
        <w:rPr>
          <w:rFonts w:ascii="Times New Roman" w:hAnsi="Times New Roman"/>
          <w:sz w:val="24"/>
          <w:szCs w:val="24"/>
          <w:lang w:val="sq-AL"/>
        </w:rPr>
        <w:t>uke mar</w:t>
      </w:r>
      <w:r w:rsidR="00A150D1" w:rsidRPr="00DD766B">
        <w:rPr>
          <w:rFonts w:ascii="Times New Roman" w:hAnsi="Times New Roman"/>
          <w:sz w:val="24"/>
          <w:szCs w:val="24"/>
          <w:lang w:val="sq-AL"/>
        </w:rPr>
        <w:t>r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38378F" w:rsidRPr="00DD766B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38378F" w:rsidRPr="00DD766B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sa m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>r, si dhe faktin q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38378F" w:rsidRPr="00DD766B">
        <w:rPr>
          <w:rFonts w:ascii="Times New Roman" w:hAnsi="Times New Roman"/>
          <w:sz w:val="24"/>
          <w:szCs w:val="24"/>
          <w:lang w:val="sq-AL"/>
        </w:rPr>
        <w:t xml:space="preserve"> aktualisht sektori i turizmit ka një vëmendje të veçantë nga ana e qeverisë shqiptare, si një nga sektorët prioritarë në zhvillimin ekonomik të vendit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>, propozohet q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me an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F54D59" w:rsidRPr="00DD766B">
        <w:rPr>
          <w:rFonts w:ascii="Times New Roman" w:hAnsi="Times New Roman"/>
          <w:sz w:val="24"/>
          <w:szCs w:val="24"/>
          <w:lang w:val="sq-AL"/>
        </w:rPr>
        <w:t>tij projektligji furnizim</w:t>
      </w:r>
      <w:r w:rsidRPr="00DD766B">
        <w:rPr>
          <w:rFonts w:ascii="Times New Roman" w:hAnsi="Times New Roman"/>
          <w:sz w:val="24"/>
          <w:szCs w:val="24"/>
          <w:lang w:val="sq-AL"/>
        </w:rPr>
        <w:t>i i shërbimeve të ofruara</w:t>
      </w:r>
      <w:r w:rsidR="00F54D59" w:rsidRPr="00DD766B">
        <w:rPr>
          <w:rFonts w:ascii="Times New Roman" w:hAnsi="Times New Roman"/>
          <w:sz w:val="24"/>
          <w:szCs w:val="24"/>
          <w:lang w:val="sq-AL"/>
        </w:rPr>
        <w:t xml:space="preserve"> brenda strukturave 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akomoduese </w:t>
      </w:r>
      <w:r w:rsidR="00F54D59" w:rsidRPr="00DD766B">
        <w:rPr>
          <w:rFonts w:ascii="Times New Roman" w:hAnsi="Times New Roman"/>
          <w:sz w:val="24"/>
          <w:szCs w:val="24"/>
          <w:lang w:val="sq-AL"/>
        </w:rPr>
        <w:t xml:space="preserve">të çertifikuara si </w:t>
      </w:r>
      <w:r w:rsidRPr="00DD766B">
        <w:rPr>
          <w:rFonts w:ascii="Times New Roman" w:eastAsia="Times New Roman" w:hAnsi="Times New Roman"/>
          <w:sz w:val="24"/>
          <w:szCs w:val="24"/>
          <w:lang w:val="de-DE"/>
        </w:rPr>
        <w:t>hotele</w:t>
      </w:r>
      <w:r w:rsidR="00A150D1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me 5 yje</w:t>
      </w:r>
      <w:r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me status special</w:t>
      </w:r>
      <w:r w:rsidR="00A150D1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, sipas </w:t>
      </w:r>
      <w:r w:rsidRPr="00DD766B">
        <w:rPr>
          <w:rFonts w:ascii="Times New Roman" w:eastAsia="Times New Roman" w:hAnsi="Times New Roman"/>
          <w:sz w:val="24"/>
          <w:szCs w:val="24"/>
          <w:lang w:val="de-DE"/>
        </w:rPr>
        <w:t>p</w:t>
      </w:r>
      <w:r w:rsidR="00241921" w:rsidRPr="00DD766B">
        <w:rPr>
          <w:rFonts w:ascii="Times New Roman" w:eastAsia="Times New Roman" w:hAnsi="Times New Roman"/>
          <w:sz w:val="24"/>
          <w:szCs w:val="24"/>
          <w:lang w:val="de-DE"/>
        </w:rPr>
        <w:t>ë</w:t>
      </w:r>
      <w:r w:rsidRPr="00DD766B">
        <w:rPr>
          <w:rFonts w:ascii="Times New Roman" w:eastAsia="Times New Roman" w:hAnsi="Times New Roman"/>
          <w:sz w:val="24"/>
          <w:szCs w:val="24"/>
          <w:lang w:val="de-DE"/>
        </w:rPr>
        <w:t>rcaktimit n</w:t>
      </w:r>
      <w:r w:rsidR="00241921" w:rsidRPr="00DD766B">
        <w:rPr>
          <w:rFonts w:ascii="Times New Roman" w:eastAsia="Times New Roman" w:hAnsi="Times New Roman"/>
          <w:sz w:val="24"/>
          <w:szCs w:val="24"/>
          <w:lang w:val="de-DE"/>
        </w:rPr>
        <w:t>ë</w:t>
      </w:r>
      <w:r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legjislacionin e</w:t>
      </w:r>
      <w:r w:rsidR="00A150D1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fushës së</w:t>
      </w:r>
      <w:r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turizmit</w:t>
      </w:r>
      <w:r w:rsidR="00F54D59" w:rsidRPr="00DD766B">
        <w:rPr>
          <w:rFonts w:ascii="Times New Roman" w:hAnsi="Times New Roman"/>
          <w:sz w:val="24"/>
          <w:szCs w:val="24"/>
          <w:lang w:val="sq-AL"/>
        </w:rPr>
        <w:t>,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B4A11">
        <w:rPr>
          <w:rFonts w:ascii="Times New Roman" w:hAnsi="Times New Roman"/>
          <w:sz w:val="24"/>
          <w:szCs w:val="24"/>
          <w:lang w:val="sq-AL"/>
        </w:rPr>
        <w:t>jet</w:t>
      </w:r>
      <w:r w:rsidR="002E590F">
        <w:rPr>
          <w:rFonts w:ascii="Times New Roman" w:hAnsi="Times New Roman"/>
          <w:sz w:val="24"/>
          <w:szCs w:val="24"/>
          <w:lang w:val="sq-AL"/>
        </w:rPr>
        <w:t>ë</w:t>
      </w:r>
      <w:r w:rsidR="004B4A11">
        <w:rPr>
          <w:rFonts w:ascii="Times New Roman" w:hAnsi="Times New Roman"/>
          <w:sz w:val="24"/>
          <w:szCs w:val="24"/>
          <w:lang w:val="sq-AL"/>
        </w:rPr>
        <w:t xml:space="preserve"> me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shkall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551B1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 xml:space="preserve"> reduktuar </w:t>
      </w:r>
      <w:r w:rsidR="000B2F36" w:rsidRPr="00DD766B">
        <w:rPr>
          <w:rFonts w:ascii="Times New Roman" w:hAnsi="Times New Roman"/>
          <w:sz w:val="24"/>
          <w:szCs w:val="24"/>
          <w:lang w:val="sq-AL"/>
        </w:rPr>
        <w:t>TVSH</w:t>
      </w:r>
      <w:r w:rsidR="00684672" w:rsidRPr="00DD766B">
        <w:rPr>
          <w:rFonts w:ascii="Times New Roman" w:hAnsi="Times New Roman"/>
          <w:sz w:val="24"/>
          <w:szCs w:val="24"/>
          <w:lang w:val="sq-AL"/>
        </w:rPr>
        <w:t>-je prej 6%</w:t>
      </w:r>
      <w:r w:rsidR="0038378F" w:rsidRPr="00DD766B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A0CB7" w:rsidRPr="00DD766B" w:rsidRDefault="009A0CB7" w:rsidP="008A0F6E">
      <w:pPr>
        <w:pStyle w:val="Default"/>
        <w:spacing w:line="276" w:lineRule="auto"/>
        <w:jc w:val="both"/>
        <w:rPr>
          <w:lang w:val="sq-AL"/>
        </w:rPr>
      </w:pPr>
    </w:p>
    <w:p w:rsidR="00467965" w:rsidRDefault="00882871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D766B">
        <w:rPr>
          <w:rFonts w:ascii="Times New Roman" w:hAnsi="Times New Roman"/>
          <w:sz w:val="24"/>
          <w:szCs w:val="24"/>
          <w:lang w:val="en-GB"/>
        </w:rPr>
        <w:t xml:space="preserve">Me </w:t>
      </w:r>
      <w:r w:rsidR="00DF503C" w:rsidRPr="00DD766B">
        <w:rPr>
          <w:rFonts w:ascii="Times New Roman" w:hAnsi="Times New Roman"/>
          <w:sz w:val="24"/>
          <w:szCs w:val="24"/>
          <w:lang w:val="en-GB"/>
        </w:rPr>
        <w:t>an</w:t>
      </w:r>
      <w:r w:rsidR="00A54CA5" w:rsidRPr="00DD766B">
        <w:rPr>
          <w:rFonts w:ascii="Times New Roman" w:hAnsi="Times New Roman"/>
          <w:sz w:val="24"/>
          <w:szCs w:val="24"/>
          <w:lang w:val="en-GB"/>
        </w:rPr>
        <w:t>ë</w:t>
      </w:r>
      <w:r w:rsidR="00DF503C" w:rsidRPr="00DD766B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A54CA5" w:rsidRPr="00DD766B">
        <w:rPr>
          <w:rFonts w:ascii="Times New Roman" w:hAnsi="Times New Roman"/>
          <w:sz w:val="24"/>
          <w:szCs w:val="24"/>
          <w:lang w:val="en-GB"/>
        </w:rPr>
        <w:t>ë</w:t>
      </w:r>
      <w:r w:rsidR="00DF503C" w:rsidRPr="00DD766B">
        <w:rPr>
          <w:rFonts w:ascii="Times New Roman" w:hAnsi="Times New Roman"/>
          <w:sz w:val="24"/>
          <w:szCs w:val="24"/>
          <w:lang w:val="en-GB"/>
        </w:rPr>
        <w:t xml:space="preserve"> k</w:t>
      </w:r>
      <w:r w:rsidR="00A54CA5" w:rsidRPr="00DD766B">
        <w:rPr>
          <w:rFonts w:ascii="Times New Roman" w:hAnsi="Times New Roman"/>
          <w:sz w:val="24"/>
          <w:szCs w:val="24"/>
          <w:lang w:val="en-GB"/>
        </w:rPr>
        <w:t>ë</w:t>
      </w:r>
      <w:r w:rsidR="00A150D1" w:rsidRPr="00DD766B">
        <w:rPr>
          <w:rFonts w:ascii="Times New Roman" w:hAnsi="Times New Roman"/>
          <w:sz w:val="24"/>
          <w:szCs w:val="24"/>
          <w:lang w:val="en-GB"/>
        </w:rPr>
        <w:t xml:space="preserve">tij projektligji </w:t>
      </w:r>
      <w:r w:rsidR="007F7FB6">
        <w:rPr>
          <w:rFonts w:ascii="Times New Roman" w:hAnsi="Times New Roman"/>
          <w:sz w:val="24"/>
          <w:szCs w:val="24"/>
          <w:lang w:val="en-GB"/>
        </w:rPr>
        <w:t>synohet gjithashtu</w:t>
      </w:r>
      <w:r w:rsidR="009D5018">
        <w:rPr>
          <w:rFonts w:ascii="Times New Roman" w:hAnsi="Times New Roman"/>
          <w:sz w:val="24"/>
          <w:szCs w:val="24"/>
          <w:lang w:val="en-GB"/>
        </w:rPr>
        <w:t xml:space="preserve"> 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81242">
        <w:rPr>
          <w:rFonts w:ascii="Times New Roman" w:hAnsi="Times New Roman"/>
          <w:sz w:val="24"/>
          <w:szCs w:val="24"/>
          <w:lang w:val="en-GB"/>
        </w:rPr>
        <w:t>me 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llim uljen e kostove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rputhshm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ris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>r nj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kategori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caktuar personash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tatuesh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>m</w:t>
      </w:r>
      <w:r w:rsidR="00081242">
        <w:rPr>
          <w:rFonts w:ascii="Times New Roman" w:hAnsi="Times New Roman"/>
          <w:sz w:val="24"/>
          <w:szCs w:val="24"/>
          <w:lang w:val="en-GB"/>
        </w:rPr>
        <w:t>, periudha e deklarimit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r tatimin mbi vler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n e shtuar  </w:t>
      </w:r>
      <w:r w:rsidR="005B452C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81242">
        <w:rPr>
          <w:rFonts w:ascii="Times New Roman" w:hAnsi="Times New Roman"/>
          <w:sz w:val="24"/>
          <w:szCs w:val="24"/>
          <w:lang w:val="en-GB"/>
        </w:rPr>
        <w:t>jet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m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e gjat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se muaji kalendarik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>sht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5563">
        <w:rPr>
          <w:rFonts w:ascii="Times New Roman" w:hAnsi="Times New Roman"/>
          <w:sz w:val="24"/>
          <w:szCs w:val="24"/>
          <w:lang w:val="en-GB"/>
        </w:rPr>
        <w:t xml:space="preserve">aktualisht </w:t>
      </w:r>
      <w:r w:rsidR="005B452C">
        <w:rPr>
          <w:rFonts w:ascii="Times New Roman" w:hAnsi="Times New Roman"/>
          <w:sz w:val="24"/>
          <w:szCs w:val="24"/>
          <w:lang w:val="en-GB"/>
        </w:rPr>
        <w:t>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>r pe</w:t>
      </w:r>
      <w:r w:rsidR="00155563">
        <w:rPr>
          <w:rFonts w:ascii="Times New Roman" w:hAnsi="Times New Roman"/>
          <w:sz w:val="24"/>
          <w:szCs w:val="24"/>
          <w:lang w:val="en-GB"/>
        </w:rPr>
        <w:t>r</w:t>
      </w:r>
      <w:r w:rsidR="005B452C">
        <w:rPr>
          <w:rFonts w:ascii="Times New Roman" w:hAnsi="Times New Roman"/>
          <w:sz w:val="24"/>
          <w:szCs w:val="24"/>
          <w:lang w:val="en-GB"/>
        </w:rPr>
        <w:t>sonat 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jan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>rfshir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n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regjimin normal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>
        <w:rPr>
          <w:rFonts w:ascii="Times New Roman" w:hAnsi="Times New Roman"/>
          <w:sz w:val="24"/>
          <w:szCs w:val="24"/>
          <w:lang w:val="en-GB"/>
        </w:rPr>
        <w:t xml:space="preserve"> TVSH-s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391AD8" w:rsidRPr="00391AD8" w:rsidRDefault="00391AD8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Në </w:t>
      </w:r>
      <w:r w:rsidR="00081242">
        <w:rPr>
          <w:rFonts w:ascii="Times New Roman" w:hAnsi="Times New Roman"/>
          <w:sz w:val="24"/>
          <w:szCs w:val="24"/>
          <w:lang w:val="en-GB"/>
        </w:rPr>
        <w:t>pik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n 5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nenit 107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ligjit “P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r tatimin mbi vler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n e shtuar n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RSH”, </w:t>
      </w:r>
      <w:r w:rsidR="00081242" w:rsidRPr="00081242">
        <w:rPr>
          <w:rFonts w:ascii="Times New Roman" w:hAnsi="Times New Roman"/>
          <w:sz w:val="24"/>
          <w:szCs w:val="24"/>
          <w:lang w:val="en-GB"/>
        </w:rPr>
        <w:t>parashikohet se “</w:t>
      </w:r>
      <w:r w:rsidR="00081242" w:rsidRPr="00081242">
        <w:rPr>
          <w:rFonts w:ascii="Times New Roman" w:hAnsi="Times New Roman"/>
          <w:i/>
          <w:sz w:val="24"/>
          <w:szCs w:val="24"/>
        </w:rPr>
        <w:t xml:space="preserve">Ministri i Financave ka të drejtë të caktojë me udhëzim që për ndonjë kategori personash të tatueshëm periudha tatimore të jetë më e gjatë se një muaj, por </w:t>
      </w:r>
      <w:proofErr w:type="gramStart"/>
      <w:r w:rsidR="00081242" w:rsidRPr="00081242">
        <w:rPr>
          <w:rFonts w:ascii="Times New Roman" w:hAnsi="Times New Roman"/>
          <w:i/>
          <w:sz w:val="24"/>
          <w:szCs w:val="24"/>
        </w:rPr>
        <w:t>jo</w:t>
      </w:r>
      <w:proofErr w:type="gramEnd"/>
      <w:r w:rsidR="00081242" w:rsidRPr="00081242">
        <w:rPr>
          <w:rFonts w:ascii="Times New Roman" w:hAnsi="Times New Roman"/>
          <w:i/>
          <w:sz w:val="24"/>
          <w:szCs w:val="24"/>
        </w:rPr>
        <w:t xml:space="preserve"> më e gjatë se një vit kalendarik</w:t>
      </w:r>
      <w:r w:rsidR="00081242">
        <w:rPr>
          <w:rFonts w:ascii="Times New Roman" w:hAnsi="Times New Roman"/>
          <w:i/>
          <w:sz w:val="24"/>
          <w:szCs w:val="24"/>
        </w:rPr>
        <w:t>”</w:t>
      </w:r>
      <w:r w:rsidR="00081242" w:rsidRPr="000812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Por, 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duke 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>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 xml:space="preserve">ne se 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>K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>shil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l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 xml:space="preserve">i 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i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 xml:space="preserve"> Ministrave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>n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 xml:space="preserve"> zbatim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 xml:space="preserve"> n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>nit 117, pika 2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 xml:space="preserve"> ligjit “P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>r tatimin mbi vler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>n e shtuar n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 xml:space="preserve"> RSH”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7F7FB6" w:rsidRPr="00D779B4">
        <w:rPr>
          <w:rFonts w:ascii="Times New Roman" w:hAnsi="Times New Roman"/>
          <w:sz w:val="24"/>
          <w:szCs w:val="24"/>
          <w:lang w:val="en-GB"/>
        </w:rPr>
        <w:t xml:space="preserve"> ndryshuar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 xml:space="preserve">rcakton </w:t>
      </w:r>
      <w:r w:rsidR="005B452C" w:rsidRPr="00D779B4">
        <w:rPr>
          <w:rFonts w:ascii="Times New Roman" w:hAnsi="Times New Roman"/>
          <w:sz w:val="24"/>
          <w:szCs w:val="24"/>
          <w:lang w:val="en-GB"/>
        </w:rPr>
        <w:t xml:space="preserve">me vendim 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>kufirin minimal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 xml:space="preserve"> regjistrimit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>r TVSH-n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>,</w:t>
      </w:r>
      <w:r w:rsidR="002E590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at</w:t>
      </w:r>
      <w:r w:rsidR="00467965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her</w:t>
      </w:r>
      <w:r w:rsidR="00467965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467965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j</w:t>
      </w:r>
      <w:r w:rsidR="00177E06"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en-GB"/>
        </w:rPr>
        <w:t>t</w:t>
      </w:r>
      <w:r w:rsidR="00467965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po ky organ q</w:t>
      </w:r>
      <w:r w:rsidR="00467965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k</w:t>
      </w:r>
      <w:r w:rsidR="002E590F">
        <w:rPr>
          <w:rFonts w:ascii="Times New Roman" w:hAnsi="Times New Roman"/>
          <w:sz w:val="24"/>
          <w:szCs w:val="24"/>
          <w:lang w:val="en-GB"/>
        </w:rPr>
        <w:t>e</w:t>
      </w:r>
      <w:r w:rsid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drejt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>rcaktoj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9D5018" w:rsidRPr="00D779B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me vendim </w:t>
      </w:r>
      <w:r w:rsidRPr="00391AD8">
        <w:rPr>
          <w:rFonts w:ascii="Times New Roman" w:hAnsi="Times New Roman"/>
          <w:sz w:val="24"/>
          <w:szCs w:val="24"/>
        </w:rPr>
        <w:t>që për ndonjë kategori personash të tatueshëm</w:t>
      </w:r>
      <w:r>
        <w:rPr>
          <w:rFonts w:ascii="Times New Roman" w:hAnsi="Times New Roman"/>
          <w:sz w:val="24"/>
          <w:szCs w:val="24"/>
        </w:rPr>
        <w:t>,</w:t>
      </w:r>
      <w:r w:rsidRPr="00391AD8">
        <w:rPr>
          <w:rFonts w:ascii="Times New Roman" w:hAnsi="Times New Roman"/>
          <w:sz w:val="24"/>
          <w:szCs w:val="24"/>
        </w:rPr>
        <w:t xml:space="preserve"> periudha tatimore të jetë më e gjatë se një muaj, por jo më e gjatë se një vit kalendarik</w:t>
      </w:r>
      <w:r>
        <w:rPr>
          <w:rFonts w:ascii="Times New Roman" w:hAnsi="Times New Roman"/>
          <w:sz w:val="24"/>
          <w:szCs w:val="24"/>
        </w:rPr>
        <w:t>.</w:t>
      </w:r>
    </w:p>
    <w:p w:rsidR="00D779B4" w:rsidRPr="00467965" w:rsidRDefault="00467965" w:rsidP="008A0F6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Në kuptim të sa më sipër,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detyrimi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r dor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zimin e deklarat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s 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B452C" w:rsidRPr="00D779B4">
        <w:rPr>
          <w:rFonts w:ascii="Times New Roman" w:hAnsi="Times New Roman"/>
          <w:sz w:val="24"/>
          <w:szCs w:val="24"/>
          <w:lang w:val="en-GB"/>
        </w:rPr>
        <w:t>TVSH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-s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 p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>r nj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 kategori 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 caktuar personash 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 tatuesh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m, 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jet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r nj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391AD8">
        <w:rPr>
          <w:rFonts w:ascii="Times New Roman" w:hAnsi="Times New Roman"/>
          <w:sz w:val="24"/>
          <w:szCs w:val="24"/>
          <w:lang w:val="en-GB"/>
        </w:rPr>
        <w:t>e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riudh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m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gjat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se muaji, siç mund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j</w:t>
      </w:r>
      <w:r w:rsidR="002E590F">
        <w:rPr>
          <w:rFonts w:ascii="Times New Roman" w:hAnsi="Times New Roman"/>
          <w:sz w:val="24"/>
          <w:szCs w:val="24"/>
          <w:lang w:val="en-GB"/>
        </w:rPr>
        <w:t>e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tremujori, ashtu sikurse 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>sht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aktualisht </w:t>
      </w:r>
      <w:r w:rsidR="00391AD8">
        <w:rPr>
          <w:rFonts w:ascii="Times New Roman" w:hAnsi="Times New Roman"/>
          <w:sz w:val="24"/>
          <w:szCs w:val="24"/>
          <w:lang w:val="en-GB"/>
        </w:rPr>
        <w:t>detyrimi p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r 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>deklarim</w:t>
      </w:r>
      <w:r w:rsidR="00391AD8">
        <w:rPr>
          <w:rFonts w:ascii="Times New Roman" w:hAnsi="Times New Roman"/>
          <w:sz w:val="24"/>
          <w:szCs w:val="24"/>
          <w:lang w:val="en-GB"/>
        </w:rPr>
        <w:t>in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91AD8">
        <w:rPr>
          <w:rFonts w:ascii="Times New Roman" w:hAnsi="Times New Roman"/>
          <w:sz w:val="24"/>
          <w:szCs w:val="24"/>
          <w:lang w:val="en-GB"/>
        </w:rPr>
        <w:t xml:space="preserve">e 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>dh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>n</w:t>
      </w:r>
      <w:r w:rsidR="00D779B4">
        <w:rPr>
          <w:rFonts w:ascii="Times New Roman" w:hAnsi="Times New Roman"/>
          <w:sz w:val="24"/>
          <w:szCs w:val="24"/>
          <w:lang w:val="en-GB"/>
        </w:rPr>
        <w:t>a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>ve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>r kontributet e sigurim</w:t>
      </w:r>
      <w:r w:rsidR="00D779B4">
        <w:rPr>
          <w:rFonts w:ascii="Times New Roman" w:hAnsi="Times New Roman"/>
          <w:sz w:val="24"/>
          <w:szCs w:val="24"/>
          <w:lang w:val="en-GB"/>
        </w:rPr>
        <w:t>e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>ve shoq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 w:rsidRPr="00D779B4">
        <w:rPr>
          <w:rFonts w:ascii="Times New Roman" w:hAnsi="Times New Roman"/>
          <w:sz w:val="24"/>
          <w:szCs w:val="24"/>
          <w:lang w:val="en-GB"/>
        </w:rPr>
        <w:t xml:space="preserve">rore </w:t>
      </w:r>
      <w:r w:rsidR="00D779B4" w:rsidRPr="00D779B4">
        <w:rPr>
          <w:rFonts w:ascii="Times New Roman" w:eastAsia="Times New Roman" w:hAnsi="Times New Roman"/>
          <w:sz w:val="24"/>
          <w:szCs w:val="24"/>
        </w:rPr>
        <w:t xml:space="preserve">dhe shëndetësore dhe tatimit mbi të ardhurat nga punësimi, 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r subjektet e tatimit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 xml:space="preserve"> thjeshtuar mbi fitimin</w:t>
      </w:r>
      <w:r w:rsidR="005B452C"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 w:rsidRPr="00D779B4">
        <w:rPr>
          <w:rFonts w:ascii="Times New Roman" w:hAnsi="Times New Roman"/>
          <w:sz w:val="24"/>
          <w:szCs w:val="24"/>
          <w:lang w:val="en-GB"/>
        </w:rPr>
        <w:t>r biznesin e vog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5B452C" w:rsidRPr="00D779B4">
        <w:rPr>
          <w:rFonts w:ascii="Times New Roman" w:hAnsi="Times New Roman"/>
          <w:sz w:val="24"/>
          <w:szCs w:val="24"/>
          <w:lang w:val="en-GB"/>
        </w:rPr>
        <w:t>l</w:t>
      </w:r>
      <w:r w:rsidR="00081242" w:rsidRPr="00D779B4">
        <w:rPr>
          <w:rFonts w:ascii="Times New Roman" w:hAnsi="Times New Roman"/>
          <w:sz w:val="24"/>
          <w:szCs w:val="24"/>
          <w:lang w:val="en-GB"/>
        </w:rPr>
        <w:t>.</w:t>
      </w:r>
      <w:r w:rsidR="00D779B4">
        <w:rPr>
          <w:rFonts w:ascii="Times New Roman" w:eastAsia="Times New Roman" w:hAnsi="Times New Roman"/>
          <w:sz w:val="24"/>
          <w:szCs w:val="24"/>
        </w:rPr>
        <w:t xml:space="preserve"> </w:t>
      </w:r>
      <w:r w:rsidR="00155563">
        <w:rPr>
          <w:rFonts w:ascii="Times New Roman" w:eastAsia="Times New Roman" w:hAnsi="Times New Roman"/>
          <w:sz w:val="24"/>
          <w:szCs w:val="24"/>
        </w:rPr>
        <w:t xml:space="preserve"> </w:t>
      </w:r>
      <w:r w:rsidR="00081242">
        <w:rPr>
          <w:rFonts w:ascii="Times New Roman" w:hAnsi="Times New Roman"/>
          <w:sz w:val="24"/>
          <w:szCs w:val="24"/>
          <w:lang w:val="en-GB"/>
        </w:rPr>
        <w:t>Pra</w:t>
      </w:r>
      <w:r w:rsidR="00D779B4">
        <w:rPr>
          <w:rFonts w:ascii="Times New Roman" w:hAnsi="Times New Roman"/>
          <w:sz w:val="24"/>
          <w:szCs w:val="24"/>
          <w:lang w:val="en-GB"/>
        </w:rPr>
        <w:t>,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79B4">
        <w:rPr>
          <w:rFonts w:ascii="Times New Roman" w:hAnsi="Times New Roman"/>
          <w:sz w:val="24"/>
          <w:szCs w:val="24"/>
          <w:lang w:val="en-GB"/>
        </w:rPr>
        <w:t>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r </w:t>
      </w:r>
      <w:r w:rsidR="00081242">
        <w:rPr>
          <w:rFonts w:ascii="Times New Roman" w:hAnsi="Times New Roman"/>
          <w:sz w:val="24"/>
          <w:szCs w:val="24"/>
          <w:lang w:val="en-GB"/>
        </w:rPr>
        <w:t>nj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kategori </w:t>
      </w:r>
      <w:r w:rsid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caktuar personash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 xml:space="preserve"> tatuesh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081242">
        <w:rPr>
          <w:rFonts w:ascii="Times New Roman" w:hAnsi="Times New Roman"/>
          <w:sz w:val="24"/>
          <w:szCs w:val="24"/>
          <w:lang w:val="en-GB"/>
        </w:rPr>
        <w:t>m</w:t>
      </w:r>
      <w:r w:rsidR="00D779B4">
        <w:rPr>
          <w:rFonts w:ascii="Times New Roman" w:hAnsi="Times New Roman"/>
          <w:sz w:val="24"/>
          <w:szCs w:val="24"/>
          <w:lang w:val="en-GB"/>
        </w:rPr>
        <w:t>, dor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>zimi i deklarat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>s 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TVSH-s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 b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D779B4">
        <w:rPr>
          <w:rFonts w:ascii="Times New Roman" w:hAnsi="Times New Roman"/>
          <w:sz w:val="24"/>
          <w:szCs w:val="24"/>
          <w:lang w:val="en-GB"/>
        </w:rPr>
        <w:t xml:space="preserve">het mbi baza mujore </w:t>
      </w:r>
      <w:proofErr w:type="gramStart"/>
      <w:r w:rsidR="00D779B4" w:rsidRPr="00851A97">
        <w:rPr>
          <w:rFonts w:ascii="Times New Roman" w:hAnsi="Times New Roman"/>
          <w:color w:val="000000"/>
          <w:sz w:val="24"/>
          <w:szCs w:val="24"/>
          <w:lang w:eastAsia="sq-AL"/>
        </w:rPr>
        <w:t>brenda</w:t>
      </w:r>
      <w:proofErr w:type="gramEnd"/>
      <w:r w:rsidR="00D779B4" w:rsidRPr="00851A97">
        <w:rPr>
          <w:rFonts w:ascii="Times New Roman" w:hAnsi="Times New Roman"/>
          <w:color w:val="000000"/>
          <w:sz w:val="24"/>
          <w:szCs w:val="24"/>
          <w:lang w:eastAsia="sq-AL"/>
        </w:rPr>
        <w:t xml:space="preserve"> dat</w:t>
      </w:r>
      <w:r w:rsidR="00D779B4">
        <w:rPr>
          <w:rFonts w:ascii="Times New Roman" w:hAnsi="Times New Roman"/>
          <w:color w:val="000000"/>
          <w:sz w:val="24"/>
          <w:szCs w:val="24"/>
          <w:lang w:eastAsia="sq-AL"/>
        </w:rPr>
        <w:t>ë</w:t>
      </w:r>
      <w:r w:rsidR="00D779B4" w:rsidRPr="00851A97">
        <w:rPr>
          <w:rFonts w:ascii="Times New Roman" w:hAnsi="Times New Roman"/>
          <w:color w:val="000000"/>
          <w:sz w:val="24"/>
          <w:szCs w:val="24"/>
          <w:lang w:eastAsia="sq-AL"/>
        </w:rPr>
        <w:t>s 14 t</w:t>
      </w:r>
      <w:r w:rsidR="00D779B4">
        <w:rPr>
          <w:rFonts w:ascii="Times New Roman" w:hAnsi="Times New Roman"/>
          <w:color w:val="000000"/>
          <w:sz w:val="24"/>
          <w:szCs w:val="24"/>
          <w:lang w:eastAsia="sq-AL"/>
        </w:rPr>
        <w:t>ë</w:t>
      </w:r>
      <w:r w:rsidR="00D779B4" w:rsidRPr="00851A97">
        <w:rPr>
          <w:rFonts w:ascii="Times New Roman" w:hAnsi="Times New Roman"/>
          <w:color w:val="000000"/>
          <w:sz w:val="24"/>
          <w:szCs w:val="24"/>
          <w:lang w:eastAsia="sq-AL"/>
        </w:rPr>
        <w:t xml:space="preserve"> muajit </w:t>
      </w:r>
      <w:r w:rsidR="00D779B4" w:rsidRPr="00851A97">
        <w:rPr>
          <w:rFonts w:ascii="Times New Roman" w:hAnsi="Times New Roman"/>
          <w:sz w:val="24"/>
          <w:szCs w:val="24"/>
        </w:rPr>
        <w:t>t</w:t>
      </w:r>
      <w:r w:rsidR="00D779B4">
        <w:rPr>
          <w:rFonts w:ascii="Times New Roman" w:hAnsi="Times New Roman"/>
          <w:sz w:val="24"/>
          <w:szCs w:val="24"/>
        </w:rPr>
        <w:t>ë</w:t>
      </w:r>
      <w:r w:rsidR="00D779B4" w:rsidRPr="00851A97">
        <w:rPr>
          <w:rFonts w:ascii="Times New Roman" w:hAnsi="Times New Roman"/>
          <w:sz w:val="24"/>
          <w:szCs w:val="24"/>
        </w:rPr>
        <w:t xml:space="preserve"> par</w:t>
      </w:r>
      <w:r w:rsidR="00D779B4">
        <w:rPr>
          <w:rFonts w:ascii="Times New Roman" w:hAnsi="Times New Roman"/>
          <w:sz w:val="24"/>
          <w:szCs w:val="24"/>
        </w:rPr>
        <w:t>ë</w:t>
      </w:r>
      <w:r w:rsidR="00D779B4" w:rsidRPr="00851A97">
        <w:rPr>
          <w:rFonts w:ascii="Times New Roman" w:hAnsi="Times New Roman"/>
          <w:sz w:val="24"/>
          <w:szCs w:val="24"/>
        </w:rPr>
        <w:t xml:space="preserve"> pas përfundimit t</w:t>
      </w:r>
      <w:r w:rsidR="00D779B4">
        <w:rPr>
          <w:rFonts w:ascii="Times New Roman" w:hAnsi="Times New Roman"/>
          <w:sz w:val="24"/>
          <w:szCs w:val="24"/>
        </w:rPr>
        <w:t>ë</w:t>
      </w:r>
      <w:r w:rsidR="00D779B4" w:rsidRPr="00851A97">
        <w:rPr>
          <w:rFonts w:ascii="Times New Roman" w:hAnsi="Times New Roman"/>
          <w:sz w:val="24"/>
          <w:szCs w:val="24"/>
        </w:rPr>
        <w:t xml:space="preserve"> çdo tremujori t</w:t>
      </w:r>
      <w:r w:rsidR="00D779B4">
        <w:rPr>
          <w:rFonts w:ascii="Times New Roman" w:hAnsi="Times New Roman"/>
          <w:sz w:val="24"/>
          <w:szCs w:val="24"/>
        </w:rPr>
        <w:t>ë</w:t>
      </w:r>
      <w:r w:rsidR="00D779B4" w:rsidRPr="00851A97">
        <w:rPr>
          <w:rFonts w:ascii="Times New Roman" w:hAnsi="Times New Roman"/>
          <w:sz w:val="24"/>
          <w:szCs w:val="24"/>
        </w:rPr>
        <w:t xml:space="preserve"> vitit kalendarik</w:t>
      </w:r>
      <w:r w:rsidR="00D779B4">
        <w:rPr>
          <w:rFonts w:ascii="Times New Roman" w:hAnsi="Times New Roman"/>
          <w:sz w:val="24"/>
          <w:szCs w:val="24"/>
        </w:rPr>
        <w:t>.</w:t>
      </w:r>
    </w:p>
    <w:p w:rsidR="00D779B4" w:rsidRDefault="00F05159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Po k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shtu</w:t>
      </w:r>
      <w:r w:rsidR="00D779B4">
        <w:rPr>
          <w:rFonts w:ascii="Times New Roman" w:hAnsi="Times New Roman"/>
          <w:sz w:val="24"/>
          <w:szCs w:val="24"/>
        </w:rPr>
        <w:t xml:space="preserve">, </w:t>
      </w:r>
      <w:r w:rsidR="00467965">
        <w:rPr>
          <w:rFonts w:ascii="Times New Roman" w:hAnsi="Times New Roman"/>
          <w:sz w:val="24"/>
          <w:szCs w:val="24"/>
        </w:rPr>
        <w:t>meqënëse</w:t>
      </w:r>
      <w:r w:rsidR="00155563">
        <w:rPr>
          <w:rFonts w:ascii="Times New Roman" w:hAnsi="Times New Roman"/>
          <w:sz w:val="24"/>
          <w:szCs w:val="24"/>
        </w:rPr>
        <w:t xml:space="preserve"> </w:t>
      </w:r>
      <w:r w:rsidR="00D779B4">
        <w:rPr>
          <w:rFonts w:ascii="Times New Roman" w:hAnsi="Times New Roman"/>
          <w:sz w:val="24"/>
          <w:szCs w:val="24"/>
        </w:rPr>
        <w:t>deklarata e tatimit mbi vler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n e shtuar, n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zbatim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nenit 109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ligjit </w:t>
      </w:r>
      <w:r>
        <w:rPr>
          <w:rFonts w:ascii="Times New Roman" w:hAnsi="Times New Roman"/>
          <w:sz w:val="24"/>
          <w:szCs w:val="24"/>
        </w:rPr>
        <w:t>“P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r w:rsidR="00467965">
        <w:rPr>
          <w:rFonts w:ascii="Times New Roman" w:hAnsi="Times New Roman"/>
          <w:sz w:val="24"/>
          <w:szCs w:val="24"/>
        </w:rPr>
        <w:t>TVSH</w:t>
      </w:r>
      <w:r>
        <w:rPr>
          <w:rFonts w:ascii="Times New Roman" w:hAnsi="Times New Roman"/>
          <w:sz w:val="24"/>
          <w:szCs w:val="24"/>
        </w:rPr>
        <w:t>-n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” </w:t>
      </w:r>
      <w:r w:rsidR="00D779B4">
        <w:rPr>
          <w:rFonts w:ascii="Times New Roman" w:hAnsi="Times New Roman"/>
          <w:sz w:val="24"/>
          <w:szCs w:val="24"/>
        </w:rPr>
        <w:t>shoq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rohet gjithmon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me regjistrat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rmbledh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s si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 funizimet e kryera</w:t>
      </w:r>
      <w:r>
        <w:rPr>
          <w:rFonts w:ascii="Times New Roman" w:hAnsi="Times New Roman"/>
          <w:sz w:val="24"/>
          <w:szCs w:val="24"/>
        </w:rPr>
        <w:t>,</w:t>
      </w:r>
      <w:r w:rsidR="00D779B4">
        <w:rPr>
          <w:rFonts w:ascii="Times New Roman" w:hAnsi="Times New Roman"/>
          <w:sz w:val="24"/>
          <w:szCs w:val="24"/>
        </w:rPr>
        <w:t xml:space="preserve">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 furnizimet e marra dhe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 sakt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simet e kryera,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em</w:t>
      </w:r>
      <w:r w:rsidR="00155563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ruar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rkat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sisht lib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 shitjeje dhe lib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 blerjeje,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 k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kategori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caktuar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rsonash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tatuesh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z w:val="24"/>
          <w:szCs w:val="24"/>
        </w:rPr>
        <w:t>K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 i</w:t>
      </w:r>
      <w:r w:rsidR="00D77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Ministrav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D779B4">
        <w:rPr>
          <w:rFonts w:ascii="Times New Roman" w:hAnsi="Times New Roman"/>
          <w:sz w:val="24"/>
          <w:szCs w:val="24"/>
        </w:rPr>
        <w:t>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drejt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D779B4">
        <w:rPr>
          <w:rFonts w:ascii="Times New Roman" w:hAnsi="Times New Roman"/>
          <w:sz w:val="24"/>
          <w:szCs w:val="24"/>
        </w:rPr>
        <w:t>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rcaktoj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po me vendim q</w:t>
      </w:r>
      <w:r w:rsidR="002E590F">
        <w:rPr>
          <w:rFonts w:ascii="Times New Roman" w:hAnsi="Times New Roman"/>
          <w:sz w:val="24"/>
          <w:szCs w:val="24"/>
        </w:rPr>
        <w:t>ë</w:t>
      </w:r>
      <w:r w:rsidR="002F03FE">
        <w:rPr>
          <w:rFonts w:ascii="Times New Roman" w:hAnsi="Times New Roman"/>
          <w:sz w:val="24"/>
          <w:szCs w:val="24"/>
        </w:rPr>
        <w:t>,</w:t>
      </w:r>
      <w:r w:rsidR="00D779B4">
        <w:rPr>
          <w:rFonts w:ascii="Times New Roman" w:hAnsi="Times New Roman"/>
          <w:sz w:val="24"/>
          <w:szCs w:val="24"/>
        </w:rPr>
        <w:t xml:space="preserve"> regji</w:t>
      </w:r>
      <w:r>
        <w:rPr>
          <w:rFonts w:ascii="Times New Roman" w:hAnsi="Times New Roman"/>
          <w:sz w:val="24"/>
          <w:szCs w:val="24"/>
        </w:rPr>
        <w:t>s</w:t>
      </w:r>
      <w:r w:rsidR="00D779B4">
        <w:rPr>
          <w:rFonts w:ascii="Times New Roman" w:hAnsi="Times New Roman"/>
          <w:sz w:val="24"/>
          <w:szCs w:val="24"/>
        </w:rPr>
        <w:t>trat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rmbledh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s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jen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p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>r nj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periudh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m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gjat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se muaji, siç mund 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jet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tremujori por jo m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e gjat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se nj</w:t>
      </w:r>
      <w:r w:rsidR="002E590F">
        <w:rPr>
          <w:rFonts w:ascii="Times New Roman" w:hAnsi="Times New Roman"/>
          <w:sz w:val="24"/>
          <w:szCs w:val="24"/>
        </w:rPr>
        <w:t>ë</w:t>
      </w:r>
      <w:r w:rsidR="00D779B4">
        <w:rPr>
          <w:rFonts w:ascii="Times New Roman" w:hAnsi="Times New Roman"/>
          <w:sz w:val="24"/>
          <w:szCs w:val="24"/>
        </w:rPr>
        <w:t xml:space="preserve"> vit kalendarik.     </w:t>
      </w:r>
    </w:p>
    <w:p w:rsidR="000129F0" w:rsidRPr="00DD766B" w:rsidRDefault="000129F0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D766B">
        <w:rPr>
          <w:rFonts w:ascii="Times New Roman" w:hAnsi="Times New Roman"/>
          <w:sz w:val="24"/>
          <w:szCs w:val="24"/>
          <w:lang w:val="en-GB"/>
        </w:rPr>
        <w:t xml:space="preserve">Po </w:t>
      </w:r>
      <w:r w:rsidR="000E07D4" w:rsidRPr="00DD766B">
        <w:rPr>
          <w:rFonts w:ascii="Times New Roman" w:hAnsi="Times New Roman"/>
          <w:sz w:val="24"/>
          <w:szCs w:val="24"/>
          <w:lang w:val="en-GB"/>
        </w:rPr>
        <w:t>me an</w:t>
      </w:r>
      <w:r w:rsidRPr="00DD766B">
        <w:rPr>
          <w:rFonts w:ascii="Times New Roman" w:hAnsi="Times New Roman"/>
          <w:sz w:val="24"/>
          <w:szCs w:val="24"/>
          <w:lang w:val="en-GB"/>
        </w:rPr>
        <w:t>ë</w:t>
      </w:r>
      <w:r w:rsidR="000E07D4" w:rsidRPr="00DD766B">
        <w:rPr>
          <w:rFonts w:ascii="Times New Roman" w:hAnsi="Times New Roman"/>
          <w:sz w:val="24"/>
          <w:szCs w:val="24"/>
          <w:lang w:val="en-GB"/>
        </w:rPr>
        <w:t xml:space="preserve"> t</w:t>
      </w:r>
      <w:r w:rsidRPr="00DD766B">
        <w:rPr>
          <w:rFonts w:ascii="Times New Roman" w:hAnsi="Times New Roman"/>
          <w:sz w:val="24"/>
          <w:szCs w:val="24"/>
          <w:lang w:val="en-GB"/>
        </w:rPr>
        <w:t>ë</w:t>
      </w:r>
      <w:r w:rsidR="000E07D4" w:rsidRPr="00DD766B">
        <w:rPr>
          <w:rFonts w:ascii="Times New Roman" w:hAnsi="Times New Roman"/>
          <w:sz w:val="24"/>
          <w:szCs w:val="24"/>
          <w:lang w:val="en-GB"/>
        </w:rPr>
        <w:t xml:space="preserve"> k</w:t>
      </w:r>
      <w:r w:rsidRPr="00DD766B">
        <w:rPr>
          <w:rFonts w:ascii="Times New Roman" w:hAnsi="Times New Roman"/>
          <w:sz w:val="24"/>
          <w:szCs w:val="24"/>
          <w:lang w:val="en-GB"/>
        </w:rPr>
        <w:t>ë</w:t>
      </w:r>
      <w:r w:rsidR="000E07D4" w:rsidRPr="00DD766B">
        <w:rPr>
          <w:rFonts w:ascii="Times New Roman" w:hAnsi="Times New Roman"/>
          <w:sz w:val="24"/>
          <w:szCs w:val="24"/>
          <w:lang w:val="en-GB"/>
        </w:rPr>
        <w:t xml:space="preserve">tij projektligji, </w:t>
      </w:r>
      <w:r w:rsidR="00DD766B" w:rsidRPr="00DD766B">
        <w:rPr>
          <w:rFonts w:ascii="Times New Roman" w:hAnsi="Times New Roman"/>
          <w:sz w:val="24"/>
          <w:szCs w:val="24"/>
          <w:lang w:val="en-GB"/>
        </w:rPr>
        <w:t xml:space="preserve">synohet </w:t>
      </w:r>
      <w:r w:rsidR="002F03FE">
        <w:rPr>
          <w:rFonts w:ascii="Times New Roman" w:hAnsi="Times New Roman"/>
          <w:sz w:val="24"/>
          <w:szCs w:val="24"/>
          <w:lang w:val="en-GB"/>
        </w:rPr>
        <w:t xml:space="preserve">t’i jepet e drejta </w:t>
      </w:r>
      <w:r w:rsidRPr="00DD766B">
        <w:rPr>
          <w:rFonts w:ascii="Times New Roman" w:hAnsi="Times New Roman"/>
          <w:sz w:val="24"/>
          <w:szCs w:val="24"/>
          <w:lang w:val="en-GB"/>
        </w:rPr>
        <w:t>Këshilli</w:t>
      </w:r>
      <w:r w:rsidR="002F03FE">
        <w:rPr>
          <w:rFonts w:ascii="Times New Roman" w:hAnsi="Times New Roman"/>
          <w:sz w:val="24"/>
          <w:szCs w:val="24"/>
          <w:lang w:val="en-GB"/>
        </w:rPr>
        <w:t>t</w:t>
      </w:r>
      <w:r w:rsidRPr="00DD766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F03FE">
        <w:rPr>
          <w:rFonts w:ascii="Times New Roman" w:hAnsi="Times New Roman"/>
          <w:sz w:val="24"/>
          <w:szCs w:val="24"/>
          <w:lang w:val="en-GB"/>
        </w:rPr>
        <w:t>të</w:t>
      </w:r>
      <w:r w:rsidRPr="00DD766B">
        <w:rPr>
          <w:rFonts w:ascii="Times New Roman" w:hAnsi="Times New Roman"/>
          <w:sz w:val="24"/>
          <w:szCs w:val="24"/>
          <w:lang w:val="en-GB"/>
        </w:rPr>
        <w:t xml:space="preserve"> Ministrave që përve</w:t>
      </w:r>
      <w:r w:rsidR="00CF541A">
        <w:rPr>
          <w:rFonts w:ascii="Times New Roman" w:hAnsi="Times New Roman"/>
          <w:sz w:val="24"/>
          <w:szCs w:val="24"/>
          <w:lang w:val="en-GB"/>
        </w:rPr>
        <w:t>ç</w:t>
      </w:r>
      <w:r w:rsidRPr="00DD766B">
        <w:rPr>
          <w:rFonts w:ascii="Times New Roman" w:hAnsi="Times New Roman"/>
          <w:sz w:val="24"/>
          <w:szCs w:val="24"/>
          <w:lang w:val="en-GB"/>
        </w:rPr>
        <w:t xml:space="preserve"> kufirit minimal të përgjithsh</w:t>
      </w:r>
      <w:r w:rsidR="00DD766B" w:rsidRPr="00DD766B">
        <w:rPr>
          <w:rFonts w:ascii="Times New Roman" w:hAnsi="Times New Roman"/>
          <w:sz w:val="24"/>
          <w:szCs w:val="24"/>
          <w:lang w:val="en-GB"/>
        </w:rPr>
        <w:t>ë</w:t>
      </w:r>
      <w:r w:rsidRPr="00DD766B">
        <w:rPr>
          <w:rFonts w:ascii="Times New Roman" w:hAnsi="Times New Roman"/>
          <w:sz w:val="24"/>
          <w:szCs w:val="24"/>
          <w:lang w:val="en-GB"/>
        </w:rPr>
        <w:t xml:space="preserve">m të regjistrimit për TVSH-në, të përcaktojë raste të përjashtimit nga ky kufi apo të përcaktojë një kufi minimal të regjistrimit për kategori të vecanta, ndryshe nga kufiri i përgjithshëm. </w:t>
      </w:r>
    </w:p>
    <w:p w:rsidR="000129F0" w:rsidRPr="00DD766B" w:rsidRDefault="000129F0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085CCA" w:rsidRPr="00DD766B" w:rsidRDefault="00085CCA" w:rsidP="008A0F6E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lastRenderedPageBreak/>
        <w:t>VLERËSIMI I PROJEKT-AKTIT NË RAPORT ME PROGRAMIN POLITIK TË KËSHILLIT TË MINISTRAVE, ME PROGRAMIN ANALITIK TË AKTEVE DHE DOKUMENTE TË TJERA POLITIKE</w:t>
      </w:r>
      <w:r w:rsidR="00ED0D14" w:rsidRPr="00DD766B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085CCA" w:rsidRPr="00DD766B" w:rsidRDefault="00085CCA" w:rsidP="008A0F6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085CCA" w:rsidRPr="00DD766B" w:rsidRDefault="00085CCA" w:rsidP="008A0F6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Ky projektligj është në përputhje me programin politik të qeverisë dhe synon:</w:t>
      </w:r>
    </w:p>
    <w:p w:rsidR="00085CCA" w:rsidRPr="00DD766B" w:rsidRDefault="00085CCA" w:rsidP="008A0F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Nxitjen e zhvillimit të sektorit të turizmit</w:t>
      </w:r>
      <w:r w:rsidR="000C4C8C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546E6" w:rsidRPr="00DD766B">
        <w:rPr>
          <w:rFonts w:ascii="Times New Roman" w:hAnsi="Times New Roman"/>
          <w:sz w:val="24"/>
          <w:szCs w:val="24"/>
          <w:lang w:val="sq-AL"/>
        </w:rPr>
        <w:t xml:space="preserve">elitar </w:t>
      </w:r>
      <w:r w:rsidR="000C4C8C" w:rsidRPr="00DD766B">
        <w:rPr>
          <w:rFonts w:ascii="Times New Roman" w:hAnsi="Times New Roman"/>
          <w:sz w:val="24"/>
          <w:szCs w:val="24"/>
          <w:lang w:val="sq-AL"/>
        </w:rPr>
        <w:t>dhe ve</w:t>
      </w:r>
      <w:r w:rsidR="003F79A9" w:rsidRPr="00DD766B">
        <w:rPr>
          <w:rFonts w:ascii="Times New Roman" w:hAnsi="Times New Roman"/>
          <w:sz w:val="24"/>
          <w:szCs w:val="24"/>
          <w:lang w:val="sq-AL"/>
        </w:rPr>
        <w:t>ç</w:t>
      </w:r>
      <w:r w:rsidR="000C4C8C" w:rsidRPr="00DD766B">
        <w:rPr>
          <w:rFonts w:ascii="Times New Roman" w:hAnsi="Times New Roman"/>
          <w:sz w:val="24"/>
          <w:szCs w:val="24"/>
          <w:lang w:val="sq-AL"/>
        </w:rPr>
        <w:t>an</w:t>
      </w:r>
      <w:r w:rsidR="00357E2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0C4C8C" w:rsidRPr="00DD766B">
        <w:rPr>
          <w:rFonts w:ascii="Times New Roman" w:hAnsi="Times New Roman"/>
          <w:sz w:val="24"/>
          <w:szCs w:val="24"/>
          <w:lang w:val="sq-AL"/>
        </w:rPr>
        <w:t xml:space="preserve">risht zhvillimin e </w:t>
      </w:r>
      <w:r w:rsidR="007323D7" w:rsidRPr="00DD766B">
        <w:rPr>
          <w:rFonts w:ascii="Times New Roman" w:hAnsi="Times New Roman"/>
          <w:sz w:val="24"/>
          <w:szCs w:val="24"/>
          <w:lang w:val="sq-AL"/>
        </w:rPr>
        <w:t>sh</w:t>
      </w:r>
      <w:r w:rsidR="00357E2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7323D7" w:rsidRPr="00DD766B">
        <w:rPr>
          <w:rFonts w:ascii="Times New Roman" w:hAnsi="Times New Roman"/>
          <w:sz w:val="24"/>
          <w:szCs w:val="24"/>
          <w:lang w:val="sq-AL"/>
        </w:rPr>
        <w:t>rbimeve t</w:t>
      </w:r>
      <w:r w:rsidR="00357E2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7323D7" w:rsidRPr="00DD766B">
        <w:rPr>
          <w:rFonts w:ascii="Times New Roman" w:hAnsi="Times New Roman"/>
          <w:sz w:val="24"/>
          <w:szCs w:val="24"/>
          <w:lang w:val="sq-AL"/>
        </w:rPr>
        <w:t xml:space="preserve"> hoteleris</w:t>
      </w:r>
      <w:r w:rsidR="00357E2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E546E6" w:rsidRPr="00DD766B">
        <w:rPr>
          <w:rFonts w:ascii="Times New Roman" w:hAnsi="Times New Roman"/>
          <w:sz w:val="24"/>
          <w:szCs w:val="24"/>
          <w:lang w:val="sq-AL"/>
        </w:rPr>
        <w:t xml:space="preserve"> në Hotelet me pesë yje, status special</w:t>
      </w:r>
      <w:r w:rsidRPr="00DD766B">
        <w:rPr>
          <w:rFonts w:ascii="Times New Roman" w:hAnsi="Times New Roman"/>
          <w:sz w:val="24"/>
          <w:szCs w:val="24"/>
          <w:lang w:val="sq-AL"/>
        </w:rPr>
        <w:t>;</w:t>
      </w:r>
    </w:p>
    <w:p w:rsidR="00085CCA" w:rsidRPr="00DD766B" w:rsidRDefault="0038421E" w:rsidP="008A0F6E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DD766B">
        <w:rPr>
          <w:rFonts w:ascii="Times New Roman" w:eastAsia="MS Mincho" w:hAnsi="Times New Roman"/>
          <w:sz w:val="24"/>
          <w:szCs w:val="24"/>
          <w:lang w:val="sq-AL"/>
        </w:rPr>
        <w:t>Rritjen</w:t>
      </w:r>
      <w:r w:rsidR="00085CCA" w:rsidRPr="00DD766B">
        <w:rPr>
          <w:rFonts w:ascii="Times New Roman" w:eastAsia="MS Mincho" w:hAnsi="Times New Roman"/>
          <w:sz w:val="24"/>
          <w:szCs w:val="24"/>
          <w:lang w:val="sq-AL"/>
        </w:rPr>
        <w:t xml:space="preserve"> e konkurrencës dhe zhvillimin ekonomik</w:t>
      </w:r>
    </w:p>
    <w:p w:rsidR="00467965" w:rsidRDefault="00467965" w:rsidP="008A0F6E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>
        <w:rPr>
          <w:rFonts w:ascii="Times New Roman" w:eastAsia="MS Mincho" w:hAnsi="Times New Roman"/>
          <w:sz w:val="24"/>
          <w:szCs w:val="24"/>
          <w:lang w:val="sq-AL"/>
        </w:rPr>
        <w:t>Një trajtim ndryshe, me qëllim uljen e kostove të përputhshmërisë</w:t>
      </w:r>
      <w:r w:rsidR="00A94366">
        <w:rPr>
          <w:rFonts w:ascii="Times New Roman" w:eastAsia="MS Mincho" w:hAnsi="Times New Roman"/>
          <w:sz w:val="24"/>
          <w:szCs w:val="24"/>
          <w:lang w:val="sq-AL"/>
        </w:rPr>
        <w:t>,</w:t>
      </w:r>
      <w:r>
        <w:rPr>
          <w:rFonts w:ascii="Times New Roman" w:eastAsia="MS Mincho" w:hAnsi="Times New Roman"/>
          <w:sz w:val="24"/>
          <w:szCs w:val="24"/>
          <w:lang w:val="sq-AL"/>
        </w:rPr>
        <w:t xml:space="preserve"> për një kategori të caktuar personash të tatueshëm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sq-AL"/>
        </w:rPr>
        <w:t xml:space="preserve">sipas përcaktimit me vendim të Këshillit të Ministrave, 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>p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>rsa i p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>rket periudhes s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 xml:space="preserve"> dor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>zimit t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 xml:space="preserve"> deklarat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>s s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 xml:space="preserve"> TVSH-s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 xml:space="preserve"> dhe regjistrave p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>rmbledh</w:t>
      </w:r>
      <w:r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467965">
        <w:rPr>
          <w:rFonts w:ascii="Times New Roman" w:eastAsia="MS Mincho" w:hAnsi="Times New Roman"/>
          <w:sz w:val="24"/>
          <w:szCs w:val="24"/>
          <w:lang w:val="sq-AL"/>
        </w:rPr>
        <w:t>s</w:t>
      </w:r>
      <w:r>
        <w:rPr>
          <w:rFonts w:ascii="Times New Roman" w:eastAsia="MS Mincho" w:hAnsi="Times New Roman"/>
          <w:sz w:val="24"/>
          <w:szCs w:val="24"/>
          <w:lang w:val="sq-AL"/>
        </w:rPr>
        <w:t>.</w:t>
      </w:r>
    </w:p>
    <w:p w:rsidR="00467965" w:rsidRDefault="00467965" w:rsidP="008A0F6E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85CCA" w:rsidRPr="00467965" w:rsidRDefault="00085CCA" w:rsidP="008A0F6E">
      <w:pPr>
        <w:spacing w:after="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467965">
        <w:rPr>
          <w:rFonts w:ascii="Times New Roman" w:hAnsi="Times New Roman"/>
          <w:b/>
          <w:sz w:val="24"/>
          <w:szCs w:val="24"/>
          <w:lang w:val="sq-AL"/>
        </w:rPr>
        <w:t>ARGUMENTIMI I PROJEKTLIGJIT LIDHUR ME PËRPARËSITË, PROBLEMATIKAT, EFEKTET E PRITSHME</w:t>
      </w:r>
      <w:r w:rsidR="00ED0D14" w:rsidRPr="00467965">
        <w:rPr>
          <w:rFonts w:ascii="Times New Roman" w:hAnsi="Times New Roman"/>
          <w:b/>
          <w:sz w:val="24"/>
          <w:szCs w:val="24"/>
          <w:lang w:val="sq-AL"/>
        </w:rPr>
        <w:t>.</w:t>
      </w:r>
      <w:r w:rsidRPr="00467965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2432E1" w:rsidRPr="00DD766B" w:rsidRDefault="002432E1" w:rsidP="008A0F6E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E3115" w:rsidRPr="00DD766B" w:rsidRDefault="00085CCA" w:rsidP="008A0F6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 xml:space="preserve">Projektligji propozon aplikimin e shkallës së reduktuar të TVSH-së në për </w:t>
      </w:r>
      <w:r w:rsidR="00E00875" w:rsidRPr="00DD766B">
        <w:rPr>
          <w:rFonts w:ascii="Times New Roman" w:hAnsi="Times New Roman"/>
          <w:sz w:val="24"/>
          <w:szCs w:val="24"/>
          <w:lang w:val="sq-AL"/>
        </w:rPr>
        <w:t>furnizimet</w:t>
      </w:r>
      <w:r w:rsidR="000515D6" w:rsidRPr="00DD766B">
        <w:rPr>
          <w:rFonts w:ascii="Times New Roman" w:hAnsi="Times New Roman"/>
          <w:sz w:val="24"/>
          <w:szCs w:val="24"/>
          <w:lang w:val="sq-AL"/>
        </w:rPr>
        <w:t xml:space="preserve"> e ofruara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në </w:t>
      </w:r>
      <w:r w:rsidR="0038421E" w:rsidRPr="00DD766B">
        <w:rPr>
          <w:rFonts w:ascii="Times New Roman" w:hAnsi="Times New Roman"/>
          <w:sz w:val="24"/>
          <w:szCs w:val="24"/>
          <w:lang w:val="sq-AL"/>
        </w:rPr>
        <w:t>strukturat akomoduese</w:t>
      </w:r>
      <w:r w:rsidR="00604FE2" w:rsidRPr="00DD766B">
        <w:rPr>
          <w:rFonts w:ascii="Times New Roman" w:hAnsi="Times New Roman"/>
          <w:sz w:val="24"/>
          <w:szCs w:val="24"/>
          <w:lang w:val="sq-AL"/>
        </w:rPr>
        <w:t xml:space="preserve"> hotele</w:t>
      </w:r>
      <w:r w:rsidR="0038421E" w:rsidRPr="00DD766B">
        <w:rPr>
          <w:rFonts w:ascii="Times New Roman" w:hAnsi="Times New Roman"/>
          <w:sz w:val="24"/>
          <w:szCs w:val="24"/>
          <w:lang w:val="sq-AL"/>
        </w:rPr>
        <w:t xml:space="preserve"> me</w:t>
      </w:r>
      <w:r w:rsidR="00575A54" w:rsidRPr="00DD766B">
        <w:rPr>
          <w:rFonts w:ascii="Times New Roman" w:hAnsi="Times New Roman"/>
          <w:sz w:val="24"/>
          <w:szCs w:val="24"/>
          <w:lang w:val="sq-AL"/>
        </w:rPr>
        <w:t xml:space="preserve"> 5 yje</w:t>
      </w:r>
      <w:r w:rsidR="00604FE2" w:rsidRPr="00DD766B">
        <w:rPr>
          <w:rFonts w:ascii="Times New Roman" w:hAnsi="Times New Roman"/>
          <w:sz w:val="24"/>
          <w:szCs w:val="24"/>
          <w:lang w:val="sq-AL"/>
        </w:rPr>
        <w:t xml:space="preserve"> me status t</w:t>
      </w:r>
      <w:r w:rsidR="00241921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604FE2" w:rsidRPr="00DD766B">
        <w:rPr>
          <w:rFonts w:ascii="Times New Roman" w:hAnsi="Times New Roman"/>
          <w:sz w:val="24"/>
          <w:szCs w:val="24"/>
          <w:lang w:val="sq-AL"/>
        </w:rPr>
        <w:t xml:space="preserve"> vecant</w:t>
      </w:r>
      <w:r w:rsidR="00241921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38421E" w:rsidRPr="00DD766B">
        <w:rPr>
          <w:rFonts w:ascii="Times New Roman" w:hAnsi="Times New Roman"/>
          <w:sz w:val="24"/>
          <w:szCs w:val="24"/>
          <w:lang w:val="sq-AL"/>
        </w:rPr>
        <w:t>të përcaktuara</w:t>
      </w:r>
      <w:r w:rsidR="00575A54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4366C" w:rsidRPr="00DD766B">
        <w:rPr>
          <w:rFonts w:ascii="Times New Roman" w:hAnsi="Times New Roman"/>
          <w:sz w:val="24"/>
          <w:szCs w:val="24"/>
          <w:lang w:val="sq-AL"/>
        </w:rPr>
        <w:t xml:space="preserve">në legjislacionin e fushës së turizmit, </w:t>
      </w:r>
      <w:r w:rsidRPr="00DD766B">
        <w:rPr>
          <w:rFonts w:ascii="Times New Roman" w:hAnsi="Times New Roman"/>
          <w:sz w:val="24"/>
          <w:szCs w:val="24"/>
          <w:lang w:val="sq-AL"/>
        </w:rPr>
        <w:t>konkretisht në masën 6 %.</w:t>
      </w:r>
      <w:r w:rsidR="002432E1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26A39" w:rsidRPr="00DD766B">
        <w:rPr>
          <w:rFonts w:ascii="Times New Roman" w:eastAsia="Times New Roman" w:hAnsi="Times New Roman"/>
          <w:noProof/>
          <w:spacing w:val="-3"/>
          <w:sz w:val="24"/>
          <w:szCs w:val="24"/>
          <w:lang w:val="de-DE"/>
        </w:rPr>
        <w:t>Neni 4</w:t>
      </w:r>
      <w:r w:rsidR="00E63074" w:rsidRPr="00DD766B">
        <w:rPr>
          <w:rFonts w:ascii="Times New Roman" w:eastAsia="Times New Roman" w:hAnsi="Times New Roman"/>
          <w:noProof/>
          <w:spacing w:val="-3"/>
          <w:sz w:val="24"/>
          <w:szCs w:val="24"/>
          <w:lang w:val="de-DE"/>
        </w:rPr>
        <w:t>3</w:t>
      </w:r>
      <w:r w:rsidR="00E236E0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i ligjit nr.</w:t>
      </w:r>
      <w:r w:rsidR="004B4A1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E236E0" w:rsidRPr="00DD766B">
        <w:rPr>
          <w:rFonts w:ascii="Times New Roman" w:eastAsia="Times New Roman" w:hAnsi="Times New Roman"/>
          <w:sz w:val="24"/>
          <w:szCs w:val="24"/>
          <w:lang w:val="de-DE"/>
        </w:rPr>
        <w:t>93/20</w:t>
      </w:r>
      <w:r w:rsidR="00E00875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15 “Për Turizimin“ përcakton </w:t>
      </w:r>
      <w:r w:rsidR="000D6B38" w:rsidRPr="00DD766B">
        <w:rPr>
          <w:rFonts w:ascii="Times New Roman" w:eastAsia="Times New Roman" w:hAnsi="Times New Roman"/>
          <w:sz w:val="24"/>
          <w:szCs w:val="24"/>
          <w:lang w:val="de-DE"/>
        </w:rPr>
        <w:t>kategorit</w:t>
      </w:r>
      <w:r w:rsidR="003F79A9" w:rsidRPr="00DD766B">
        <w:rPr>
          <w:rFonts w:ascii="Times New Roman" w:eastAsia="Times New Roman" w:hAnsi="Times New Roman"/>
          <w:sz w:val="24"/>
          <w:szCs w:val="24"/>
          <w:lang w:val="de-DE"/>
        </w:rPr>
        <w:t>ë</w:t>
      </w:r>
      <w:r w:rsidR="000D6B38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e strukturave akomoduese </w:t>
      </w:r>
      <w:r w:rsidR="005E3115" w:rsidRPr="00DD766B">
        <w:rPr>
          <w:rFonts w:ascii="Times New Roman" w:eastAsia="Times New Roman" w:hAnsi="Times New Roman"/>
          <w:sz w:val="24"/>
          <w:szCs w:val="24"/>
          <w:lang w:val="de-DE"/>
        </w:rPr>
        <w:t>dhe n</w:t>
      </w:r>
      <w:r w:rsidR="003F79A9" w:rsidRPr="00DD766B">
        <w:rPr>
          <w:rFonts w:ascii="Times New Roman" w:eastAsia="Times New Roman" w:hAnsi="Times New Roman"/>
          <w:sz w:val="24"/>
          <w:szCs w:val="24"/>
          <w:lang w:val="de-DE"/>
        </w:rPr>
        <w:t>ë</w:t>
      </w:r>
      <w:r w:rsidR="005E3115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Nenin 45 t</w:t>
      </w:r>
      <w:r w:rsidR="003F79A9" w:rsidRPr="00DD766B">
        <w:rPr>
          <w:rFonts w:ascii="Times New Roman" w:eastAsia="Times New Roman" w:hAnsi="Times New Roman"/>
          <w:sz w:val="24"/>
          <w:szCs w:val="24"/>
          <w:lang w:val="de-DE"/>
        </w:rPr>
        <w:t>ë</w:t>
      </w:r>
      <w:r w:rsidR="005E3115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po k</w:t>
      </w:r>
      <w:r w:rsidR="003F79A9" w:rsidRPr="00DD766B">
        <w:rPr>
          <w:rFonts w:ascii="Times New Roman" w:eastAsia="Times New Roman" w:hAnsi="Times New Roman"/>
          <w:sz w:val="24"/>
          <w:szCs w:val="24"/>
          <w:lang w:val="de-DE"/>
        </w:rPr>
        <w:t>ë</w:t>
      </w:r>
      <w:r w:rsidR="005E3115" w:rsidRPr="00DD766B">
        <w:rPr>
          <w:rFonts w:ascii="Times New Roman" w:eastAsia="Times New Roman" w:hAnsi="Times New Roman"/>
          <w:sz w:val="24"/>
          <w:szCs w:val="24"/>
          <w:lang w:val="de-DE"/>
        </w:rPr>
        <w:t>tij Ligji parashikohet k</w:t>
      </w:r>
      <w:r w:rsidR="004B4A11">
        <w:rPr>
          <w:rFonts w:ascii="Times New Roman" w:eastAsia="Times New Roman" w:hAnsi="Times New Roman"/>
          <w:sz w:val="24"/>
          <w:szCs w:val="24"/>
          <w:lang w:val="de-DE"/>
        </w:rPr>
        <w:t>l</w:t>
      </w:r>
      <w:r w:rsidR="005E3115" w:rsidRPr="00DD766B">
        <w:rPr>
          <w:rFonts w:ascii="Times New Roman" w:eastAsia="Times New Roman" w:hAnsi="Times New Roman"/>
          <w:sz w:val="24"/>
          <w:szCs w:val="24"/>
          <w:lang w:val="de-DE"/>
        </w:rPr>
        <w:t>asifikimi i k</w:t>
      </w:r>
      <w:r w:rsidR="003F79A9" w:rsidRPr="00DD766B">
        <w:rPr>
          <w:rFonts w:ascii="Times New Roman" w:eastAsia="Times New Roman" w:hAnsi="Times New Roman"/>
          <w:sz w:val="24"/>
          <w:szCs w:val="24"/>
          <w:lang w:val="de-DE"/>
        </w:rPr>
        <w:t>ë</w:t>
      </w:r>
      <w:r w:rsidR="005E3115" w:rsidRPr="00DD766B">
        <w:rPr>
          <w:rFonts w:ascii="Times New Roman" w:eastAsia="Times New Roman" w:hAnsi="Times New Roman"/>
          <w:sz w:val="24"/>
          <w:szCs w:val="24"/>
          <w:lang w:val="de-DE"/>
        </w:rPr>
        <w:t>tyre strukturave si vijon</w:t>
      </w:r>
      <w:r w:rsidR="00D12187" w:rsidRPr="00DD766B">
        <w:rPr>
          <w:rFonts w:ascii="Times New Roman" w:eastAsia="Times New Roman" w:hAnsi="Times New Roman"/>
          <w:sz w:val="24"/>
          <w:szCs w:val="24"/>
          <w:lang w:val="de-DE"/>
        </w:rPr>
        <w:t>:</w:t>
      </w:r>
      <w:r w:rsidR="00E00875"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6B60E3" w:rsidRPr="00DD766B">
        <w:rPr>
          <w:rFonts w:ascii="Times New Roman" w:eastAsia="Times New Roman" w:hAnsi="Times New Roman"/>
          <w:i/>
          <w:sz w:val="24"/>
          <w:szCs w:val="24"/>
          <w:lang w:val="de-DE"/>
        </w:rPr>
        <w:t>"</w:t>
      </w:r>
      <w:r w:rsidR="005E3115" w:rsidRPr="00DD766B">
        <w:rPr>
          <w:rFonts w:ascii="Times New Roman" w:hAnsi="Times New Roman"/>
          <w:i/>
          <w:sz w:val="24"/>
          <w:szCs w:val="24"/>
        </w:rPr>
        <w:t>Secila kategori e strukturave akomoduese klasifikohet me sistem të veçantë, e shoqëruar me shenjat dalluese përkatëse, sipas përcaktimit të mëposhtëm:“Bujtinë”Standard;</w:t>
      </w:r>
      <w:r w:rsidR="006B60E3" w:rsidRPr="00DD76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B60E3" w:rsidRPr="00DD766B">
        <w:rPr>
          <w:rFonts w:ascii="Times New Roman" w:hAnsi="Times New Roman"/>
          <w:i/>
          <w:sz w:val="24"/>
          <w:szCs w:val="24"/>
        </w:rPr>
        <w:t>“Fjetinë”Standard, Komfort;……</w:t>
      </w:r>
      <w:r w:rsidR="005E3115" w:rsidRPr="00DD766B">
        <w:rPr>
          <w:rFonts w:ascii="Times New Roman" w:hAnsi="Times New Roman"/>
          <w:i/>
          <w:sz w:val="24"/>
          <w:szCs w:val="24"/>
        </w:rPr>
        <w:t>“Hotel”Dy yje, tre yje, katër yje, pesë yje;</w:t>
      </w:r>
      <w:r w:rsidR="006B60E3" w:rsidRPr="00DD766B">
        <w:rPr>
          <w:rFonts w:ascii="Times New Roman" w:hAnsi="Times New Roman"/>
          <w:i/>
          <w:sz w:val="24"/>
          <w:szCs w:val="24"/>
        </w:rPr>
        <w:t xml:space="preserve"> </w:t>
      </w:r>
      <w:r w:rsidR="005E3115" w:rsidRPr="00DD766B">
        <w:rPr>
          <w:rFonts w:ascii="Times New Roman" w:hAnsi="Times New Roman"/>
          <w:i/>
          <w:sz w:val="24"/>
          <w:szCs w:val="24"/>
        </w:rPr>
        <w:t>Mo</w:t>
      </w:r>
      <w:r w:rsidR="006B60E3" w:rsidRPr="00DD766B">
        <w:rPr>
          <w:rFonts w:ascii="Times New Roman" w:hAnsi="Times New Roman"/>
          <w:i/>
          <w:sz w:val="24"/>
          <w:szCs w:val="24"/>
        </w:rPr>
        <w:t>tel”Standard, Komfort, Superior, ….”</w:t>
      </w:r>
    </w:p>
    <w:p w:rsidR="00E00875" w:rsidRPr="00DD766B" w:rsidRDefault="005E3115" w:rsidP="008A0F6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D766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A94831" w:rsidRPr="00177E06" w:rsidRDefault="00177E06" w:rsidP="008A0F6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177E06">
        <w:rPr>
          <w:rFonts w:ascii="Times New Roman" w:hAnsi="Times New Roman"/>
          <w:sz w:val="24"/>
          <w:szCs w:val="24"/>
          <w:lang w:val="sq-AL"/>
        </w:rPr>
        <w:t xml:space="preserve">Sektori i turizmit është një nga kontribuesit kryesorë në ekonominë shqiptare, duke pasur një trend pozitiv gjithnjë e në rritje. </w:t>
      </w:r>
      <w:r w:rsidR="00A94831" w:rsidRPr="00177E06">
        <w:rPr>
          <w:rFonts w:ascii="Times New Roman" w:hAnsi="Times New Roman"/>
          <w:sz w:val="24"/>
          <w:szCs w:val="24"/>
          <w:lang w:val="sq-AL"/>
        </w:rPr>
        <w:t xml:space="preserve">Duke reduktuar shkallën e </w:t>
      </w:r>
      <w:r w:rsidR="004B4A11" w:rsidRPr="00177E06">
        <w:rPr>
          <w:rFonts w:ascii="Times New Roman" w:hAnsi="Times New Roman"/>
          <w:sz w:val="24"/>
          <w:szCs w:val="24"/>
          <w:lang w:val="sq-AL"/>
        </w:rPr>
        <w:t>TVSH</w:t>
      </w:r>
      <w:r w:rsidR="00A94831" w:rsidRPr="00177E06">
        <w:rPr>
          <w:rFonts w:ascii="Times New Roman" w:hAnsi="Times New Roman"/>
          <w:sz w:val="24"/>
          <w:szCs w:val="24"/>
          <w:lang w:val="sq-AL"/>
        </w:rPr>
        <w:t>-së nga</w:t>
      </w:r>
      <w:r w:rsidR="007A7BF4" w:rsidRPr="00177E06">
        <w:rPr>
          <w:rFonts w:ascii="Times New Roman" w:hAnsi="Times New Roman"/>
          <w:sz w:val="24"/>
          <w:szCs w:val="24"/>
          <w:lang w:val="sq-AL"/>
        </w:rPr>
        <w:t xml:space="preserve"> 20%  që është aktualisht në 6%, </w:t>
      </w:r>
      <w:r w:rsidR="00A94831" w:rsidRPr="00177E06">
        <w:rPr>
          <w:rFonts w:ascii="Times New Roman" w:hAnsi="Times New Roman"/>
          <w:sz w:val="24"/>
          <w:szCs w:val="24"/>
          <w:lang w:val="sq-AL"/>
        </w:rPr>
        <w:t>synohet vendosja e Shqipërisë si një destinacion i preferuar në ofertën mesdhetare të tregjeve ndërkombëtare të turizmit</w:t>
      </w:r>
      <w:r w:rsidR="004B4A11" w:rsidRPr="00177E06">
        <w:rPr>
          <w:rFonts w:ascii="Times New Roman" w:hAnsi="Times New Roman"/>
          <w:sz w:val="24"/>
          <w:szCs w:val="24"/>
          <w:lang w:val="sq-AL"/>
        </w:rPr>
        <w:t>, por sidomos nxitja e prezencës në tregun shqiptar të “brand-ve” të mirënjohura ndërkombëtarisht</w:t>
      </w:r>
      <w:r w:rsidR="00A94831" w:rsidRPr="00177E06">
        <w:rPr>
          <w:rFonts w:ascii="Times New Roman" w:hAnsi="Times New Roman"/>
          <w:sz w:val="24"/>
          <w:szCs w:val="24"/>
          <w:lang w:val="sq-AL"/>
        </w:rPr>
        <w:t>. Gjithashtu, synohet krijimi i një imazhi të ri për Shqipërinë turistike, duke ofruar shërbim në përputhje me standardet ndërkombëtare.</w:t>
      </w:r>
    </w:p>
    <w:p w:rsidR="00A65CE3" w:rsidRPr="00DD766B" w:rsidRDefault="00A65CE3" w:rsidP="008A0F6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85CCA" w:rsidRPr="00DD766B" w:rsidRDefault="00A65CE3" w:rsidP="008A0F6E">
      <w:pPr>
        <w:pStyle w:val="ListParagraph"/>
        <w:ind w:left="0"/>
        <w:jc w:val="both"/>
        <w:rPr>
          <w:rFonts w:ascii="Times New Roman" w:eastAsiaTheme="minorEastAsia" w:hAnsi="Times New Roman"/>
          <w:sz w:val="24"/>
          <w:szCs w:val="24"/>
          <w:lang w:val="sq-AL" w:eastAsia="zh-CN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Të dhënat mbi numrin e vizitorëve këto katër vitet e fundit (2013 – 2016) kanë treguar se jemi në rrugën e duhur. Nga viti 2013 në vitin 2016 ka patur një rritje prej 45,4 % të numrit të shtetasve të huaj të hyrë në vendin tonë</w:t>
      </w:r>
      <w:r w:rsidRPr="00DD766B">
        <w:rPr>
          <w:rFonts w:ascii="Times New Roman" w:eastAsiaTheme="minorEastAsia" w:hAnsi="Times New Roman"/>
          <w:sz w:val="24"/>
          <w:szCs w:val="24"/>
          <w:lang w:val="sq-AL" w:eastAsia="zh-CN"/>
        </w:rPr>
        <w:t>.</w:t>
      </w:r>
    </w:p>
    <w:p w:rsidR="00A65CE3" w:rsidRPr="00DD766B" w:rsidRDefault="00A65CE3" w:rsidP="008A0F6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85CCA" w:rsidRPr="00DD766B" w:rsidRDefault="00085CCA" w:rsidP="008A0F6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 xml:space="preserve">Për këtë arsye, 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>duke pasur parasysh se zhvillimi i sh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>rbimeve t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 xml:space="preserve"> hoteleris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>sht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 xml:space="preserve"> nga prioritetet e sektorit t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 xml:space="preserve"> turizmit, me qëllim incentivimin e këtij</w:t>
      </w:r>
      <w:r w:rsidR="00813376" w:rsidRPr="00DD766B">
        <w:rPr>
          <w:rFonts w:ascii="Times New Roman" w:hAnsi="Times New Roman"/>
          <w:sz w:val="24"/>
          <w:szCs w:val="24"/>
          <w:lang w:val="sq-AL"/>
        </w:rPr>
        <w:t xml:space="preserve"> sektori</w:t>
      </w:r>
      <w:r w:rsidR="00A66E09" w:rsidRPr="00DD766B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E546E6" w:rsidRPr="00DD766B">
        <w:rPr>
          <w:rFonts w:ascii="Times New Roman" w:hAnsi="Times New Roman"/>
          <w:sz w:val="24"/>
          <w:szCs w:val="24"/>
          <w:lang w:val="sq-AL"/>
        </w:rPr>
        <w:t xml:space="preserve">aplikimi i shkallës së reduktuar të </w:t>
      </w:r>
      <w:r w:rsidR="00A04B65" w:rsidRPr="00DD766B">
        <w:rPr>
          <w:rFonts w:ascii="Times New Roman" w:hAnsi="Times New Roman"/>
          <w:sz w:val="24"/>
          <w:szCs w:val="24"/>
          <w:lang w:val="sq-AL"/>
        </w:rPr>
        <w:t>TVSH</w:t>
      </w:r>
      <w:r w:rsidR="00E546E6" w:rsidRPr="00DD766B">
        <w:rPr>
          <w:rFonts w:ascii="Times New Roman" w:hAnsi="Times New Roman"/>
          <w:sz w:val="24"/>
          <w:szCs w:val="24"/>
          <w:lang w:val="sq-AL"/>
        </w:rPr>
        <w:t xml:space="preserve">-së jo vetëm për furnizimin e shërbimit të akomodimit por edhe për çdo shërbim tjetër të ofruar brenda strukturave akomoduese “Hotel me pesë yje, status special” të çertifikuara </w:t>
      </w:r>
      <w:r w:rsidR="002B49C1" w:rsidRPr="00DD766B">
        <w:rPr>
          <w:rFonts w:ascii="Times New Roman" w:hAnsi="Times New Roman"/>
          <w:sz w:val="24"/>
          <w:szCs w:val="24"/>
          <w:lang w:val="sq-AL"/>
        </w:rPr>
        <w:t xml:space="preserve">sipas </w:t>
      </w:r>
      <w:r w:rsidR="002B49C1" w:rsidRPr="00DD766B">
        <w:rPr>
          <w:rFonts w:ascii="Times New Roman" w:hAnsi="Times New Roman"/>
          <w:sz w:val="24"/>
          <w:szCs w:val="24"/>
          <w:lang w:val="sq-AL"/>
        </w:rPr>
        <w:lastRenderedPageBreak/>
        <w:t>p</w:t>
      </w:r>
      <w:r w:rsidR="00350218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2B49C1" w:rsidRPr="00DD766B">
        <w:rPr>
          <w:rFonts w:ascii="Times New Roman" w:hAnsi="Times New Roman"/>
          <w:sz w:val="24"/>
          <w:szCs w:val="24"/>
          <w:lang w:val="sq-AL"/>
        </w:rPr>
        <w:t>rcaktimeve t</w:t>
      </w:r>
      <w:r w:rsidR="00350218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2B49C1" w:rsidRPr="00DD766B">
        <w:rPr>
          <w:rFonts w:ascii="Times New Roman" w:hAnsi="Times New Roman"/>
          <w:sz w:val="24"/>
          <w:szCs w:val="24"/>
          <w:lang w:val="sq-AL"/>
        </w:rPr>
        <w:t xml:space="preserve"> legjislacionit n</w:t>
      </w:r>
      <w:r w:rsidR="00350218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2B49C1" w:rsidRPr="00DD766B">
        <w:rPr>
          <w:rFonts w:ascii="Times New Roman" w:hAnsi="Times New Roman"/>
          <w:sz w:val="24"/>
          <w:szCs w:val="24"/>
          <w:lang w:val="sq-AL"/>
        </w:rPr>
        <w:t xml:space="preserve"> fush</w:t>
      </w:r>
      <w:r w:rsidR="00350218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2B49C1" w:rsidRPr="00DD766B">
        <w:rPr>
          <w:rFonts w:ascii="Times New Roman" w:hAnsi="Times New Roman"/>
          <w:sz w:val="24"/>
          <w:szCs w:val="24"/>
          <w:lang w:val="sq-AL"/>
        </w:rPr>
        <w:t>n e turizmit</w:t>
      </w:r>
      <w:r w:rsidR="00E546E6" w:rsidRPr="00DD766B">
        <w:rPr>
          <w:rFonts w:ascii="Times New Roman" w:hAnsi="Times New Roman"/>
          <w:sz w:val="24"/>
          <w:szCs w:val="24"/>
          <w:lang w:val="sq-AL"/>
        </w:rPr>
        <w:t>,</w:t>
      </w:r>
      <w:r w:rsidR="002B49C1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do të sjellë efekte pozitive konkretisht, </w:t>
      </w:r>
      <w:r w:rsidR="004B4A11">
        <w:rPr>
          <w:rFonts w:ascii="Times New Roman" w:hAnsi="Times New Roman"/>
          <w:sz w:val="24"/>
          <w:szCs w:val="24"/>
          <w:lang w:val="sq-AL"/>
        </w:rPr>
        <w:t xml:space="preserve">nxitjen e investimeve, </w:t>
      </w:r>
      <w:r w:rsidRPr="00DD766B">
        <w:rPr>
          <w:rFonts w:ascii="Times New Roman" w:hAnsi="Times New Roman"/>
          <w:sz w:val="24"/>
          <w:szCs w:val="24"/>
          <w:lang w:val="sq-AL"/>
        </w:rPr>
        <w:t>përmirësimit të shërbimit dhe cilësisë, do të nxis</w:t>
      </w:r>
      <w:r w:rsidR="00A65CE3" w:rsidRPr="00DD766B">
        <w:rPr>
          <w:rFonts w:ascii="Times New Roman" w:hAnsi="Times New Roman"/>
          <w:sz w:val="24"/>
          <w:szCs w:val="24"/>
          <w:lang w:val="sq-AL"/>
        </w:rPr>
        <w:t>ë rritjen e numrit të turistëve, krijimin e vendeve të reja të punës</w:t>
      </w:r>
      <w:r w:rsidR="00A94831" w:rsidRPr="00DD766B">
        <w:rPr>
          <w:rFonts w:ascii="Times New Roman" w:hAnsi="Times New Roman"/>
          <w:sz w:val="24"/>
          <w:szCs w:val="24"/>
          <w:lang w:val="sq-AL"/>
        </w:rPr>
        <w:t>,</w:t>
      </w:r>
      <w:r w:rsidR="00A65CE3" w:rsidRPr="00DD766B">
        <w:rPr>
          <w:rFonts w:ascii="Times New Roman" w:hAnsi="Times New Roman"/>
          <w:sz w:val="24"/>
          <w:szCs w:val="24"/>
          <w:lang w:val="sq-AL"/>
        </w:rPr>
        <w:t xml:space="preserve"> etj.</w:t>
      </w:r>
    </w:p>
    <w:p w:rsidR="008A0F6E" w:rsidRDefault="00F05159" w:rsidP="008A0F6E">
      <w:pPr>
        <w:jc w:val="both"/>
        <w:rPr>
          <w:rFonts w:ascii="Times New Roman" w:hAnsi="Times New Roman"/>
          <w:sz w:val="24"/>
          <w:szCs w:val="24"/>
        </w:rPr>
      </w:pPr>
      <w:r w:rsidRPr="00DD766B">
        <w:rPr>
          <w:rFonts w:ascii="Times New Roman" w:hAnsi="Times New Roman"/>
          <w:sz w:val="24"/>
          <w:szCs w:val="24"/>
          <w:lang w:val="en-GB"/>
        </w:rPr>
        <w:t xml:space="preserve">Me anë të këtij projektligji </w:t>
      </w:r>
      <w:r>
        <w:rPr>
          <w:rFonts w:ascii="Times New Roman" w:hAnsi="Times New Roman"/>
          <w:sz w:val="24"/>
          <w:szCs w:val="24"/>
          <w:lang w:val="en-GB"/>
        </w:rPr>
        <w:t>propozohet 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, me 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llim uljen e kostove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rputhshm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ris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r nj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kategori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caktuar personash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tatuesh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m, </w:t>
      </w:r>
      <w:r w:rsidR="00177E06">
        <w:rPr>
          <w:rFonts w:ascii="Times New Roman" w:hAnsi="Times New Roman"/>
          <w:sz w:val="24"/>
          <w:szCs w:val="24"/>
          <w:lang w:val="en-GB"/>
        </w:rPr>
        <w:t>ti jepet e drejta K</w:t>
      </w:r>
      <w:r w:rsidR="008A0F6E">
        <w:rPr>
          <w:rFonts w:ascii="Times New Roman" w:hAnsi="Times New Roman"/>
          <w:sz w:val="24"/>
          <w:szCs w:val="24"/>
          <w:lang w:val="en-GB"/>
        </w:rPr>
        <w:t>ë</w:t>
      </w:r>
      <w:r w:rsidR="00177E06">
        <w:rPr>
          <w:rFonts w:ascii="Times New Roman" w:hAnsi="Times New Roman"/>
          <w:sz w:val="24"/>
          <w:szCs w:val="24"/>
          <w:lang w:val="en-GB"/>
        </w:rPr>
        <w:t>shillit t</w:t>
      </w:r>
      <w:r w:rsidR="008A0F6E">
        <w:rPr>
          <w:rFonts w:ascii="Times New Roman" w:hAnsi="Times New Roman"/>
          <w:sz w:val="24"/>
          <w:szCs w:val="24"/>
          <w:lang w:val="en-GB"/>
        </w:rPr>
        <w:t>ë</w:t>
      </w:r>
      <w:r w:rsidR="00177E06">
        <w:rPr>
          <w:rFonts w:ascii="Times New Roman" w:hAnsi="Times New Roman"/>
          <w:sz w:val="24"/>
          <w:szCs w:val="24"/>
          <w:lang w:val="en-GB"/>
        </w:rPr>
        <w:t xml:space="preserve"> Ministrave </w:t>
      </w:r>
      <w:r w:rsidRP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rcaktoj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gjithashtu </w:t>
      </w:r>
      <w:r w:rsidR="001D7482">
        <w:rPr>
          <w:rFonts w:ascii="Times New Roman" w:hAnsi="Times New Roman"/>
          <w:sz w:val="24"/>
          <w:szCs w:val="24"/>
          <w:lang w:val="en-GB"/>
        </w:rPr>
        <w:t xml:space="preserve">që 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r k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779B4">
        <w:rPr>
          <w:rFonts w:ascii="Times New Roman" w:hAnsi="Times New Roman"/>
          <w:sz w:val="24"/>
          <w:szCs w:val="24"/>
          <w:lang w:val="en-GB"/>
        </w:rPr>
        <w:t>kategori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554FF">
        <w:rPr>
          <w:rFonts w:ascii="Times New Roman" w:hAnsi="Times New Roman"/>
          <w:sz w:val="24"/>
          <w:szCs w:val="24"/>
        </w:rPr>
        <w:t>periudha tatimore të jetë më e gjatë se një muaj, por jo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4FF">
        <w:rPr>
          <w:rFonts w:ascii="Times New Roman" w:hAnsi="Times New Roman"/>
          <w:sz w:val="24"/>
          <w:szCs w:val="24"/>
        </w:rPr>
        <w:t>më e gjatë se një vit kalendarik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7E06" w:rsidRPr="00391AD8" w:rsidRDefault="00177E06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Në pikën 5 të nenit 107 të ligjit “Për tatimin mbi vlerën e shtuar në RSH”, </w:t>
      </w:r>
      <w:r w:rsidRPr="00081242">
        <w:rPr>
          <w:rFonts w:ascii="Times New Roman" w:hAnsi="Times New Roman"/>
          <w:sz w:val="24"/>
          <w:szCs w:val="24"/>
          <w:lang w:val="en-GB"/>
        </w:rPr>
        <w:t>parashikohet se “</w:t>
      </w:r>
      <w:r w:rsidRPr="00081242">
        <w:rPr>
          <w:rFonts w:ascii="Times New Roman" w:hAnsi="Times New Roman"/>
          <w:i/>
          <w:sz w:val="24"/>
          <w:szCs w:val="24"/>
        </w:rPr>
        <w:t xml:space="preserve">Ministri i Financave ka të drejtë të caktojë me udhëzim që për ndonjë kategori personash të tatueshëm periudha tatimore të jetë më e gjatë se një muaj, por </w:t>
      </w:r>
      <w:proofErr w:type="gramStart"/>
      <w:r w:rsidRPr="00081242">
        <w:rPr>
          <w:rFonts w:ascii="Times New Roman" w:hAnsi="Times New Roman"/>
          <w:i/>
          <w:sz w:val="24"/>
          <w:szCs w:val="24"/>
        </w:rPr>
        <w:t>jo</w:t>
      </w:r>
      <w:proofErr w:type="gramEnd"/>
      <w:r w:rsidRPr="00081242">
        <w:rPr>
          <w:rFonts w:ascii="Times New Roman" w:hAnsi="Times New Roman"/>
          <w:i/>
          <w:sz w:val="24"/>
          <w:szCs w:val="24"/>
        </w:rPr>
        <w:t xml:space="preserve"> më e gjatë se një vit kalendarik</w:t>
      </w:r>
      <w:r>
        <w:rPr>
          <w:rFonts w:ascii="Times New Roman" w:hAnsi="Times New Roman"/>
          <w:i/>
          <w:sz w:val="24"/>
          <w:szCs w:val="24"/>
        </w:rPr>
        <w:t>”</w:t>
      </w:r>
      <w:r w:rsidRPr="000812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Por, </w:t>
      </w:r>
      <w:r w:rsidRPr="00D779B4">
        <w:rPr>
          <w:rFonts w:ascii="Times New Roman" w:hAnsi="Times New Roman"/>
          <w:sz w:val="24"/>
          <w:szCs w:val="24"/>
          <w:lang w:val="en-GB"/>
        </w:rPr>
        <w:t>duke q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n</w:t>
      </w:r>
      <w:r w:rsidR="008A0F6E"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se K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shilli i Ministrave, n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zbatim 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n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D779B4">
        <w:rPr>
          <w:rFonts w:ascii="Times New Roman" w:hAnsi="Times New Roman"/>
          <w:sz w:val="24"/>
          <w:szCs w:val="24"/>
          <w:lang w:val="en-GB"/>
        </w:rPr>
        <w:t>nit 117, pika 2 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ligjit “P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r tatimin mbi vler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n e shtuar n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RSH” 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ndryshuar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rcakton me vendim kufirin minimal 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regjistrimit p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r TVSH-n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atëherë të jetë po ky organ që të ketë të drejtë </w:t>
      </w:r>
      <w:r w:rsidRPr="00D779B4">
        <w:rPr>
          <w:rFonts w:ascii="Times New Roman" w:hAnsi="Times New Roman"/>
          <w:sz w:val="24"/>
          <w:szCs w:val="24"/>
          <w:lang w:val="en-GB"/>
        </w:rPr>
        <w:t>t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>rcaktoj</w:t>
      </w:r>
      <w:r>
        <w:rPr>
          <w:rFonts w:ascii="Times New Roman" w:hAnsi="Times New Roman"/>
          <w:sz w:val="24"/>
          <w:szCs w:val="24"/>
          <w:lang w:val="en-GB"/>
        </w:rPr>
        <w:t>ë</w:t>
      </w:r>
      <w:r w:rsidRPr="00D779B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me vendim </w:t>
      </w:r>
      <w:r w:rsidRPr="00391AD8">
        <w:rPr>
          <w:rFonts w:ascii="Times New Roman" w:hAnsi="Times New Roman"/>
          <w:sz w:val="24"/>
          <w:szCs w:val="24"/>
        </w:rPr>
        <w:t>që për ndonjë kategori personash të tatueshëm</w:t>
      </w:r>
      <w:r>
        <w:rPr>
          <w:rFonts w:ascii="Times New Roman" w:hAnsi="Times New Roman"/>
          <w:sz w:val="24"/>
          <w:szCs w:val="24"/>
        </w:rPr>
        <w:t>,</w:t>
      </w:r>
      <w:r w:rsidRPr="00391AD8">
        <w:rPr>
          <w:rFonts w:ascii="Times New Roman" w:hAnsi="Times New Roman"/>
          <w:sz w:val="24"/>
          <w:szCs w:val="24"/>
        </w:rPr>
        <w:t xml:space="preserve"> periudha tatimore të jetë më e gjatë se një muaj, por jo më e gjatë se një vit kalendarik</w:t>
      </w:r>
      <w:r>
        <w:rPr>
          <w:rFonts w:ascii="Times New Roman" w:hAnsi="Times New Roman"/>
          <w:sz w:val="24"/>
          <w:szCs w:val="24"/>
        </w:rPr>
        <w:t>.</w:t>
      </w:r>
    </w:p>
    <w:p w:rsidR="00F05159" w:rsidRPr="00D779B4" w:rsidRDefault="00A04B65" w:rsidP="008A0F6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këtë mënyrë</w:t>
      </w:r>
      <w:r w:rsidR="001D7482">
        <w:rPr>
          <w:rFonts w:ascii="Times New Roman" w:hAnsi="Times New Roman"/>
          <w:sz w:val="24"/>
          <w:szCs w:val="24"/>
        </w:rPr>
        <w:t>,</w:t>
      </w:r>
      <w:r w:rsidR="00F05159">
        <w:rPr>
          <w:rFonts w:ascii="Times New Roman" w:hAnsi="Times New Roman"/>
          <w:sz w:val="24"/>
          <w:szCs w:val="24"/>
        </w:rPr>
        <w:t xml:space="preserve"> 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detyrimi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r dor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zimin e deklarat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s 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TVSH-s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jet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r nj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riudh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m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gjat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se muaji, siç mund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j</w:t>
      </w:r>
      <w:r w:rsidR="001D7482">
        <w:rPr>
          <w:rFonts w:ascii="Times New Roman" w:hAnsi="Times New Roman"/>
          <w:sz w:val="24"/>
          <w:szCs w:val="24"/>
          <w:lang w:val="en-GB"/>
        </w:rPr>
        <w:t>e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tremujori, ashtu sikurse b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het 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aktualisht 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deklarimi </w:t>
      </w:r>
      <w:r w:rsidR="00F05159">
        <w:rPr>
          <w:rFonts w:ascii="Times New Roman" w:hAnsi="Times New Roman"/>
          <w:sz w:val="24"/>
          <w:szCs w:val="24"/>
          <w:lang w:val="en-GB"/>
        </w:rPr>
        <w:t>i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dh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n</w:t>
      </w:r>
      <w:r w:rsidR="00F05159">
        <w:rPr>
          <w:rFonts w:ascii="Times New Roman" w:hAnsi="Times New Roman"/>
          <w:sz w:val="24"/>
          <w:szCs w:val="24"/>
          <w:lang w:val="en-GB"/>
        </w:rPr>
        <w:t>a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ve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r kontributet e sigurim</w:t>
      </w:r>
      <w:r w:rsidR="00F05159">
        <w:rPr>
          <w:rFonts w:ascii="Times New Roman" w:hAnsi="Times New Roman"/>
          <w:sz w:val="24"/>
          <w:szCs w:val="24"/>
          <w:lang w:val="en-GB"/>
        </w:rPr>
        <w:t>e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ve shoq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rore </w:t>
      </w:r>
      <w:r w:rsidR="00F05159" w:rsidRPr="00D779B4">
        <w:rPr>
          <w:rFonts w:ascii="Times New Roman" w:eastAsia="Times New Roman" w:hAnsi="Times New Roman"/>
          <w:sz w:val="24"/>
          <w:szCs w:val="24"/>
        </w:rPr>
        <w:t xml:space="preserve">dhe shëndetësore dhe tatimit mbi të ardhurat nga punësimi, 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r subjektet e tatimit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 xml:space="preserve"> thjeshtuar mbi fitimin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r biznesin e vog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 w:rsidRPr="00D779B4">
        <w:rPr>
          <w:rFonts w:ascii="Times New Roman" w:hAnsi="Times New Roman"/>
          <w:sz w:val="24"/>
          <w:szCs w:val="24"/>
          <w:lang w:val="en-GB"/>
        </w:rPr>
        <w:t>l.</w:t>
      </w:r>
      <w:r w:rsidR="00F05159">
        <w:rPr>
          <w:rFonts w:ascii="Times New Roman" w:eastAsia="Times New Roman" w:hAnsi="Times New Roman"/>
          <w:sz w:val="24"/>
          <w:szCs w:val="24"/>
        </w:rPr>
        <w:t xml:space="preserve"> </w:t>
      </w:r>
      <w:r w:rsidR="00F05159">
        <w:rPr>
          <w:rFonts w:ascii="Times New Roman" w:hAnsi="Times New Roman"/>
          <w:sz w:val="24"/>
          <w:szCs w:val="24"/>
          <w:lang w:val="en-GB"/>
        </w:rPr>
        <w:t>Pra, p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>r nj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 kategori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 caktuar personash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 tatuesh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>m, dor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>zimi i deklarat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>s 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 TVSH-s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 b</w:t>
      </w:r>
      <w:r w:rsidR="002E590F">
        <w:rPr>
          <w:rFonts w:ascii="Times New Roman" w:hAnsi="Times New Roman"/>
          <w:sz w:val="24"/>
          <w:szCs w:val="24"/>
          <w:lang w:val="en-GB"/>
        </w:rPr>
        <w:t>ë</w:t>
      </w:r>
      <w:r w:rsidR="00F05159">
        <w:rPr>
          <w:rFonts w:ascii="Times New Roman" w:hAnsi="Times New Roman"/>
          <w:sz w:val="24"/>
          <w:szCs w:val="24"/>
          <w:lang w:val="en-GB"/>
        </w:rPr>
        <w:t xml:space="preserve">het mbi baza mujore </w:t>
      </w:r>
      <w:proofErr w:type="gramStart"/>
      <w:r w:rsidR="00F05159" w:rsidRPr="00851A97">
        <w:rPr>
          <w:rFonts w:ascii="Times New Roman" w:hAnsi="Times New Roman"/>
          <w:color w:val="000000"/>
          <w:sz w:val="24"/>
          <w:szCs w:val="24"/>
          <w:lang w:eastAsia="sq-AL"/>
        </w:rPr>
        <w:t>brenda</w:t>
      </w:r>
      <w:proofErr w:type="gramEnd"/>
      <w:r w:rsidR="00F05159" w:rsidRPr="00851A97">
        <w:rPr>
          <w:rFonts w:ascii="Times New Roman" w:hAnsi="Times New Roman"/>
          <w:color w:val="000000"/>
          <w:sz w:val="24"/>
          <w:szCs w:val="24"/>
          <w:lang w:eastAsia="sq-AL"/>
        </w:rPr>
        <w:t xml:space="preserve"> dat</w:t>
      </w:r>
      <w:r w:rsidR="00F05159">
        <w:rPr>
          <w:rFonts w:ascii="Times New Roman" w:hAnsi="Times New Roman"/>
          <w:color w:val="000000"/>
          <w:sz w:val="24"/>
          <w:szCs w:val="24"/>
          <w:lang w:eastAsia="sq-AL"/>
        </w:rPr>
        <w:t>ë</w:t>
      </w:r>
      <w:r w:rsidR="00F05159" w:rsidRPr="00851A97">
        <w:rPr>
          <w:rFonts w:ascii="Times New Roman" w:hAnsi="Times New Roman"/>
          <w:color w:val="000000"/>
          <w:sz w:val="24"/>
          <w:szCs w:val="24"/>
          <w:lang w:eastAsia="sq-AL"/>
        </w:rPr>
        <w:t>s 14 t</w:t>
      </w:r>
      <w:r w:rsidR="00F05159">
        <w:rPr>
          <w:rFonts w:ascii="Times New Roman" w:hAnsi="Times New Roman"/>
          <w:color w:val="000000"/>
          <w:sz w:val="24"/>
          <w:szCs w:val="24"/>
          <w:lang w:eastAsia="sq-AL"/>
        </w:rPr>
        <w:t>ë</w:t>
      </w:r>
      <w:r w:rsidR="00F05159" w:rsidRPr="00851A97">
        <w:rPr>
          <w:rFonts w:ascii="Times New Roman" w:hAnsi="Times New Roman"/>
          <w:color w:val="000000"/>
          <w:sz w:val="24"/>
          <w:szCs w:val="24"/>
          <w:lang w:eastAsia="sq-AL"/>
        </w:rPr>
        <w:t xml:space="preserve"> muajit </w:t>
      </w:r>
      <w:r w:rsidR="00F05159" w:rsidRPr="00851A97">
        <w:rPr>
          <w:rFonts w:ascii="Times New Roman" w:hAnsi="Times New Roman"/>
          <w:sz w:val="24"/>
          <w:szCs w:val="24"/>
        </w:rPr>
        <w:t>t</w:t>
      </w:r>
      <w:r w:rsidR="00F05159">
        <w:rPr>
          <w:rFonts w:ascii="Times New Roman" w:hAnsi="Times New Roman"/>
          <w:sz w:val="24"/>
          <w:szCs w:val="24"/>
        </w:rPr>
        <w:t>ë</w:t>
      </w:r>
      <w:r w:rsidR="00F05159" w:rsidRPr="00851A97">
        <w:rPr>
          <w:rFonts w:ascii="Times New Roman" w:hAnsi="Times New Roman"/>
          <w:sz w:val="24"/>
          <w:szCs w:val="24"/>
        </w:rPr>
        <w:t xml:space="preserve"> par</w:t>
      </w:r>
      <w:r w:rsidR="00F05159">
        <w:rPr>
          <w:rFonts w:ascii="Times New Roman" w:hAnsi="Times New Roman"/>
          <w:sz w:val="24"/>
          <w:szCs w:val="24"/>
        </w:rPr>
        <w:t>ë</w:t>
      </w:r>
      <w:r w:rsidR="00F05159" w:rsidRPr="00851A97">
        <w:rPr>
          <w:rFonts w:ascii="Times New Roman" w:hAnsi="Times New Roman"/>
          <w:sz w:val="24"/>
          <w:szCs w:val="24"/>
        </w:rPr>
        <w:t xml:space="preserve"> pas përfundimit t</w:t>
      </w:r>
      <w:r w:rsidR="00F05159">
        <w:rPr>
          <w:rFonts w:ascii="Times New Roman" w:hAnsi="Times New Roman"/>
          <w:sz w:val="24"/>
          <w:szCs w:val="24"/>
        </w:rPr>
        <w:t>ë</w:t>
      </w:r>
      <w:r w:rsidR="00F05159" w:rsidRPr="00851A97">
        <w:rPr>
          <w:rFonts w:ascii="Times New Roman" w:hAnsi="Times New Roman"/>
          <w:sz w:val="24"/>
          <w:szCs w:val="24"/>
        </w:rPr>
        <w:t xml:space="preserve"> çdo tremujori t</w:t>
      </w:r>
      <w:r w:rsidR="00F05159">
        <w:rPr>
          <w:rFonts w:ascii="Times New Roman" w:hAnsi="Times New Roman"/>
          <w:sz w:val="24"/>
          <w:szCs w:val="24"/>
        </w:rPr>
        <w:t>ë</w:t>
      </w:r>
      <w:r w:rsidR="00F05159" w:rsidRPr="00851A97">
        <w:rPr>
          <w:rFonts w:ascii="Times New Roman" w:hAnsi="Times New Roman"/>
          <w:sz w:val="24"/>
          <w:szCs w:val="24"/>
        </w:rPr>
        <w:t xml:space="preserve"> vitit kalendarik</w:t>
      </w:r>
      <w:r w:rsidR="00F05159">
        <w:rPr>
          <w:rFonts w:ascii="Times New Roman" w:hAnsi="Times New Roman"/>
          <w:sz w:val="24"/>
          <w:szCs w:val="24"/>
        </w:rPr>
        <w:t>.</w:t>
      </w:r>
    </w:p>
    <w:p w:rsidR="00F05159" w:rsidRDefault="00F05159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Po k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shtu, </w:t>
      </w:r>
      <w:r w:rsidR="00177E06">
        <w:rPr>
          <w:rFonts w:ascii="Times New Roman" w:hAnsi="Times New Roman"/>
          <w:sz w:val="24"/>
          <w:szCs w:val="24"/>
        </w:rPr>
        <w:t xml:space="preserve">meqënëse </w:t>
      </w:r>
      <w:r>
        <w:rPr>
          <w:rFonts w:ascii="Times New Roman" w:hAnsi="Times New Roman"/>
          <w:sz w:val="24"/>
          <w:szCs w:val="24"/>
        </w:rPr>
        <w:t>deklarata e tatimit mbi vler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e shtuar, n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zbatim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nen</w:t>
      </w:r>
      <w:r w:rsidR="00177E06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109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ligjit “P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TVSH-n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” shoq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rohet gjithmon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me regjistrat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rmbledh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si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funizimet e kryera,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furnizimet e marra dhe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sakt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simet e kryera,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emeruar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rkat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sisht lib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shitjeje dhe lib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blerjeje,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kategori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caktuar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rsonash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tatuesh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m, K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shilli i Ministrav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drejt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rcaktoj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gjithashtu  q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regjistrat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rmbledh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jen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nj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periudh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gjat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 muaji, siç mund 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tremujori por jo m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gjat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se nj</w:t>
      </w:r>
      <w:r w:rsidR="002E59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vit kalendarik.     </w:t>
      </w:r>
    </w:p>
    <w:p w:rsidR="00F05159" w:rsidRPr="00DD766B" w:rsidRDefault="00F05159" w:rsidP="008A0F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D766B">
        <w:rPr>
          <w:rFonts w:ascii="Times New Roman" w:hAnsi="Times New Roman"/>
          <w:sz w:val="24"/>
          <w:szCs w:val="24"/>
          <w:lang w:val="en-GB"/>
        </w:rPr>
        <w:t>Po me anë të këtij projektligji, synohet që Këshilli i Ministrave të ketë të drejtë që përve</w:t>
      </w:r>
      <w:r>
        <w:rPr>
          <w:rFonts w:ascii="Times New Roman" w:hAnsi="Times New Roman"/>
          <w:sz w:val="24"/>
          <w:szCs w:val="24"/>
          <w:lang w:val="en-GB"/>
        </w:rPr>
        <w:t>ç</w:t>
      </w:r>
      <w:r w:rsidRPr="00DD766B">
        <w:rPr>
          <w:rFonts w:ascii="Times New Roman" w:hAnsi="Times New Roman"/>
          <w:sz w:val="24"/>
          <w:szCs w:val="24"/>
          <w:lang w:val="en-GB"/>
        </w:rPr>
        <w:t xml:space="preserve"> kufirit minimal të përgjithshëm të regjistrimit për TVSH-në, të përcaktojë raste të përjashtimit nga </w:t>
      </w:r>
      <w:proofErr w:type="gramStart"/>
      <w:r w:rsidRPr="00DD766B">
        <w:rPr>
          <w:rFonts w:ascii="Times New Roman" w:hAnsi="Times New Roman"/>
          <w:sz w:val="24"/>
          <w:szCs w:val="24"/>
          <w:lang w:val="en-GB"/>
        </w:rPr>
        <w:t>ky</w:t>
      </w:r>
      <w:proofErr w:type="gramEnd"/>
      <w:r w:rsidRPr="00DD766B">
        <w:rPr>
          <w:rFonts w:ascii="Times New Roman" w:hAnsi="Times New Roman"/>
          <w:sz w:val="24"/>
          <w:szCs w:val="24"/>
          <w:lang w:val="en-GB"/>
        </w:rPr>
        <w:t xml:space="preserve"> kufi apo të përcaktojë një kufi minimal të regjistrimit për kategori të vecanta, ndryshe nga kufiri i përgjithshëm. </w:t>
      </w:r>
    </w:p>
    <w:p w:rsidR="00085CCA" w:rsidRPr="00DD766B" w:rsidRDefault="00085CCA" w:rsidP="008A0F6E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VLERËSIMI I LIGJSHMËRISË, KUSHTETUTSHMËRISË DHE HARMONIZIMI ME LEGJISLACIONIN NË FUQI VENDAS E NDËRKOMBËTAR </w:t>
      </w:r>
      <w:r w:rsidR="00ED0D14" w:rsidRPr="00DD766B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085CCA" w:rsidRPr="00DD766B" w:rsidRDefault="00085CCA" w:rsidP="008A0F6E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85CCA" w:rsidRPr="00DD766B" w:rsidRDefault="00085CCA" w:rsidP="008A0F6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Projektligji është mbështetur në nenet: 78, 83 pika 1, dhe 155 të Kushtetutës.</w:t>
      </w:r>
    </w:p>
    <w:p w:rsidR="00085CCA" w:rsidRPr="00DD766B" w:rsidRDefault="00085CCA" w:rsidP="008A0F6E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VLERËSIMI I SHKALLËS </w:t>
      </w:r>
      <w:r w:rsidR="00B5727C" w:rsidRPr="00DD766B">
        <w:rPr>
          <w:rFonts w:ascii="Times New Roman" w:hAnsi="Times New Roman"/>
          <w:b/>
          <w:sz w:val="24"/>
          <w:szCs w:val="24"/>
          <w:lang w:val="sq-AL"/>
        </w:rPr>
        <w:t>SË PËRAFRIMIT ME ACQUIS COMMUN</w:t>
      </w:r>
      <w:r w:rsidR="00950AD8" w:rsidRPr="00DD766B">
        <w:rPr>
          <w:rFonts w:ascii="Times New Roman" w:hAnsi="Times New Roman"/>
          <w:b/>
          <w:sz w:val="24"/>
          <w:szCs w:val="24"/>
          <w:lang w:val="sq-AL"/>
        </w:rPr>
        <w:t>AU</w:t>
      </w:r>
      <w:r w:rsidRPr="00DD766B">
        <w:rPr>
          <w:rFonts w:ascii="Times New Roman" w:hAnsi="Times New Roman"/>
          <w:b/>
          <w:sz w:val="24"/>
          <w:szCs w:val="24"/>
          <w:lang w:val="sq-AL"/>
        </w:rPr>
        <w:t>TAIRE (PËR PROJEKT-AKTET NORMATIVE)</w:t>
      </w:r>
      <w:r w:rsidR="00ED0D14" w:rsidRPr="00DD766B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8A0F6E" w:rsidRDefault="008A0F6E" w:rsidP="008A0F6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B452C" w:rsidRPr="00D37D50" w:rsidRDefault="005B452C" w:rsidP="008A0F6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Projektligji është në përputhje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pjesshme me Direktivën e BE-së nr. 2006/112/EC “Mbi sistemin e përbashkët të Tatimit mbi Vlerën e Shtuar”, neni 98 “Normat e reduktuara”, si dhe Aneksin nr. 3 “Lista e mallrave dhe shërbimeve për të cilat mund të aplikohet normë e reduktuar e TVSH-së, referuar nenit 98”. Gjithashtu, është në përputhje të plotë me nenet 252, </w:t>
      </w:r>
      <w:r>
        <w:rPr>
          <w:rFonts w:ascii="Times New Roman" w:hAnsi="Times New Roman"/>
          <w:sz w:val="24"/>
          <w:szCs w:val="24"/>
          <w:lang w:val="sq-AL"/>
        </w:rPr>
        <w:t>262, 263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të po kësaj Direktive. </w:t>
      </w:r>
      <w:r>
        <w:rPr>
          <w:rFonts w:ascii="Times New Roman" w:hAnsi="Times New Roman"/>
          <w:sz w:val="24"/>
          <w:szCs w:val="24"/>
          <w:lang w:val="sq-AL"/>
        </w:rPr>
        <w:t xml:space="preserve">Përsa i përket ndryshimit në nenin 117 të Projektligjit, ky ndryshim nuk synon përputhje me direktivën, pasi është thjesht një saktësim. Ndërkohë, aktualisht neni 117 i Ligjit </w:t>
      </w:r>
      <w:r w:rsidRPr="00D37D50">
        <w:rPr>
          <w:rFonts w:ascii="Times New Roman" w:hAnsi="Times New Roman"/>
          <w:sz w:val="24"/>
          <w:szCs w:val="24"/>
          <w:lang w:val="sq-AL"/>
        </w:rPr>
        <w:t>92/2014 “Për tatimin mbi vlerën e shtuar në Republikën e Shqipërisë”</w:t>
      </w:r>
      <w:r>
        <w:rPr>
          <w:rFonts w:ascii="Times New Roman" w:hAnsi="Times New Roman"/>
          <w:sz w:val="24"/>
          <w:szCs w:val="24"/>
          <w:lang w:val="sq-AL"/>
        </w:rPr>
        <w:t>, i ndryshuar është plotësisht në përputhje me Direktivën.</w:t>
      </w:r>
      <w:r w:rsidRPr="00D37D50">
        <w:rPr>
          <w:rFonts w:ascii="Times New Roman" w:hAnsi="Times New Roman"/>
          <w:sz w:val="24"/>
          <w:szCs w:val="24"/>
          <w:lang w:val="sq-AL"/>
        </w:rPr>
        <w:t xml:space="preserve"> Bashkëlidhur janë përgatitur tabelat e përputhshmërisë në gjuhën shqipe dhe angleze.</w:t>
      </w:r>
    </w:p>
    <w:p w:rsidR="00085CCA" w:rsidRPr="00DD766B" w:rsidRDefault="00085CCA" w:rsidP="008A0F6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085CCA" w:rsidRPr="00DD766B" w:rsidRDefault="00085CCA" w:rsidP="008A0F6E">
      <w:pPr>
        <w:numPr>
          <w:ilvl w:val="0"/>
          <w:numId w:val="1"/>
        </w:numPr>
        <w:spacing w:after="0"/>
        <w:ind w:hanging="108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 PËRMBLEDHJE SHPJEGUESE E PËRMBAJTJES SË PROJEKT-AKTIT</w:t>
      </w:r>
      <w:r w:rsidR="00ED0D14" w:rsidRPr="00DD766B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085CCA" w:rsidRPr="00DD766B" w:rsidRDefault="00085CCA" w:rsidP="008A0F6E">
      <w:pPr>
        <w:pStyle w:val="Default"/>
        <w:spacing w:line="276" w:lineRule="auto"/>
        <w:jc w:val="both"/>
        <w:rPr>
          <w:lang w:val="sq-AL"/>
        </w:rPr>
      </w:pPr>
    </w:p>
    <w:p w:rsidR="0012738D" w:rsidRPr="00DD766B" w:rsidRDefault="00FD43D9" w:rsidP="008A0F6E">
      <w:pPr>
        <w:pStyle w:val="Subtitle"/>
        <w:spacing w:after="0"/>
        <w:jc w:val="both"/>
        <w:rPr>
          <w:rFonts w:ascii="Times New Roman" w:hAnsi="Times New Roman"/>
          <w:color w:val="000000" w:themeColor="text1"/>
          <w:lang w:val="sq-AL"/>
        </w:rPr>
      </w:pPr>
      <w:r w:rsidRPr="00DD766B">
        <w:rPr>
          <w:rFonts w:ascii="Times New Roman" w:hAnsi="Times New Roman"/>
          <w:color w:val="000000" w:themeColor="text1"/>
          <w:lang w:val="sq-AL"/>
        </w:rPr>
        <w:t>Projektligji përbëhet</w:t>
      </w:r>
      <w:r w:rsidR="0055248E" w:rsidRPr="00DD766B">
        <w:rPr>
          <w:rFonts w:ascii="Times New Roman" w:hAnsi="Times New Roman"/>
          <w:color w:val="000000" w:themeColor="text1"/>
          <w:lang w:val="sq-AL"/>
        </w:rPr>
        <w:t xml:space="preserve"> nga </w:t>
      </w:r>
      <w:r w:rsidR="000B2F36" w:rsidRPr="00DD766B">
        <w:rPr>
          <w:rFonts w:ascii="Times New Roman" w:hAnsi="Times New Roman"/>
          <w:color w:val="000000" w:themeColor="text1"/>
          <w:lang w:val="sq-AL"/>
        </w:rPr>
        <w:t>5</w:t>
      </w:r>
      <w:r w:rsidR="0055248E" w:rsidRPr="00DD766B">
        <w:rPr>
          <w:rFonts w:ascii="Times New Roman" w:hAnsi="Times New Roman"/>
          <w:color w:val="000000" w:themeColor="text1"/>
          <w:lang w:val="sq-AL"/>
        </w:rPr>
        <w:t xml:space="preserve"> </w:t>
      </w:r>
      <w:r w:rsidR="00085CCA" w:rsidRPr="00DD766B">
        <w:rPr>
          <w:rFonts w:ascii="Times New Roman" w:hAnsi="Times New Roman"/>
          <w:color w:val="000000" w:themeColor="text1"/>
          <w:lang w:val="sq-AL"/>
        </w:rPr>
        <w:t>nene:</w:t>
      </w:r>
    </w:p>
    <w:p w:rsidR="0012738D" w:rsidRPr="00DD766B" w:rsidRDefault="0012738D" w:rsidP="008A0F6E">
      <w:pPr>
        <w:spacing w:after="0"/>
        <w:rPr>
          <w:rFonts w:ascii="Times New Roman" w:hAnsi="Times New Roman"/>
          <w:sz w:val="24"/>
          <w:szCs w:val="24"/>
          <w:lang w:val="sq-AL"/>
        </w:rPr>
      </w:pPr>
    </w:p>
    <w:p w:rsidR="00F73C3D" w:rsidRPr="00DD766B" w:rsidRDefault="00085CCA" w:rsidP="008A0F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>Neni 1 i projektligjit propozon</w:t>
      </w:r>
      <w:r w:rsidR="00F73C3D"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që n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 nenin 49, shtohet pika 4, me këtë përmbajtje:</w:t>
      </w:r>
    </w:p>
    <w:p w:rsidR="00711EFE" w:rsidRPr="00DD766B" w:rsidRDefault="00711EFE" w:rsidP="008A0F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12738D" w:rsidRPr="00DD766B" w:rsidRDefault="0012738D" w:rsidP="008A0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D766B">
        <w:rPr>
          <w:rFonts w:ascii="Times New Roman" w:hAnsi="Times New Roman"/>
          <w:i/>
          <w:sz w:val="24"/>
          <w:szCs w:val="24"/>
          <w:lang w:val="sq-AL"/>
        </w:rPr>
        <w:t xml:space="preserve">“4. Përjashtimisht sa përcaktohet në pikën 3 të këtij neni, shkalla e reduktuar e tatimit mbi vlerën e shtuar 6 për qind, aplikohet për </w:t>
      </w:r>
      <w:r w:rsidR="000B2F36" w:rsidRPr="00DD766B">
        <w:rPr>
          <w:rFonts w:ascii="Times New Roman" w:hAnsi="Times New Roman"/>
          <w:i/>
          <w:sz w:val="24"/>
          <w:szCs w:val="24"/>
          <w:lang w:val="sq-AL"/>
        </w:rPr>
        <w:t>çdo</w:t>
      </w:r>
      <w:r w:rsidRPr="00DD766B">
        <w:rPr>
          <w:rFonts w:ascii="Times New Roman" w:hAnsi="Times New Roman"/>
          <w:i/>
          <w:sz w:val="24"/>
          <w:szCs w:val="24"/>
          <w:lang w:val="sq-AL"/>
        </w:rPr>
        <w:t xml:space="preserve"> furnizim</w:t>
      </w:r>
      <w:r w:rsidR="000B2F36" w:rsidRPr="00DD766B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DD766B">
        <w:rPr>
          <w:rFonts w:ascii="Times New Roman" w:hAnsi="Times New Roman"/>
          <w:i/>
          <w:sz w:val="24"/>
          <w:szCs w:val="24"/>
          <w:lang w:val="sq-AL"/>
        </w:rPr>
        <w:t>shërbim</w:t>
      </w:r>
      <w:r w:rsidR="000B2F36" w:rsidRPr="00DD766B">
        <w:rPr>
          <w:rFonts w:ascii="Times New Roman" w:hAnsi="Times New Roman"/>
          <w:i/>
          <w:sz w:val="24"/>
          <w:szCs w:val="24"/>
          <w:lang w:val="sq-AL"/>
        </w:rPr>
        <w:t>i</w:t>
      </w:r>
      <w:r w:rsidRPr="00DD766B">
        <w:rPr>
          <w:rFonts w:ascii="Times New Roman" w:hAnsi="Times New Roman"/>
          <w:i/>
          <w:sz w:val="24"/>
          <w:szCs w:val="24"/>
          <w:lang w:val="sq-AL"/>
        </w:rPr>
        <w:t xml:space="preserve"> të ofruar brenda strukturave akomoduese të çertifikuara “Hotel me pesë yje, status special” sipas përcaktimit në legjislacionin e fushës së turizmit.</w:t>
      </w:r>
    </w:p>
    <w:p w:rsidR="0012738D" w:rsidRPr="00DD766B" w:rsidRDefault="0012738D" w:rsidP="008A0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D766B">
        <w:rPr>
          <w:rFonts w:ascii="Times New Roman" w:hAnsi="Times New Roman"/>
          <w:i/>
          <w:sz w:val="24"/>
          <w:szCs w:val="24"/>
          <w:lang w:val="sq-AL"/>
        </w:rPr>
        <w:t>Kushtet, kriteret dhe pro</w:t>
      </w:r>
      <w:r w:rsidR="00711EFE" w:rsidRPr="00DD766B">
        <w:rPr>
          <w:rFonts w:ascii="Times New Roman" w:hAnsi="Times New Roman"/>
          <w:i/>
          <w:sz w:val="24"/>
          <w:szCs w:val="24"/>
          <w:lang w:val="sq-AL"/>
        </w:rPr>
        <w:t>ç</w:t>
      </w:r>
      <w:r w:rsidRPr="00DD766B">
        <w:rPr>
          <w:rFonts w:ascii="Times New Roman" w:hAnsi="Times New Roman"/>
          <w:i/>
          <w:sz w:val="24"/>
          <w:szCs w:val="24"/>
          <w:lang w:val="sq-AL"/>
        </w:rPr>
        <w:t>edurat për zbatimin e kësaj pike përcaktohen me Vendim të Këshillit të Ministrave.”</w:t>
      </w:r>
    </w:p>
    <w:p w:rsidR="00F05159" w:rsidRDefault="0055248E" w:rsidP="008A0F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Neni 2 propozon q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F05159">
        <w:rPr>
          <w:rFonts w:ascii="Times New Roman" w:hAnsi="Times New Roman"/>
          <w:sz w:val="24"/>
          <w:szCs w:val="24"/>
          <w:lang w:val="sq-AL"/>
        </w:rPr>
        <w:t xml:space="preserve">, pika 5 e </w:t>
      </w:r>
      <w:r w:rsidR="00F05159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D766B">
        <w:rPr>
          <w:rFonts w:ascii="Times New Roman" w:hAnsi="Times New Roman"/>
          <w:sz w:val="24"/>
          <w:szCs w:val="24"/>
          <w:lang w:val="sq-AL"/>
        </w:rPr>
        <w:t>neni</w:t>
      </w:r>
      <w:r w:rsidR="008A0F6E">
        <w:rPr>
          <w:rFonts w:ascii="Times New Roman" w:hAnsi="Times New Roman"/>
          <w:sz w:val="24"/>
          <w:szCs w:val="24"/>
          <w:lang w:val="sq-AL"/>
        </w:rPr>
        <w:t>t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107 t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ligjit</w:t>
      </w:r>
      <w:r w:rsidR="008A0F6E">
        <w:rPr>
          <w:rFonts w:ascii="Times New Roman" w:hAnsi="Times New Roman"/>
          <w:sz w:val="24"/>
          <w:szCs w:val="24"/>
          <w:lang w:val="sq-AL"/>
        </w:rPr>
        <w:t>,</w:t>
      </w:r>
      <w:r w:rsidR="00F05159" w:rsidRPr="007554FF">
        <w:rPr>
          <w:rFonts w:ascii="Times New Roman" w:hAnsi="Times New Roman"/>
          <w:bCs/>
          <w:color w:val="000000"/>
          <w:sz w:val="24"/>
          <w:szCs w:val="24"/>
          <w:lang w:eastAsia="sq-AL"/>
        </w:rPr>
        <w:t xml:space="preserve"> të </w:t>
      </w:r>
      <w:r w:rsidR="00F05159">
        <w:rPr>
          <w:rFonts w:ascii="Times New Roman" w:hAnsi="Times New Roman"/>
          <w:bCs/>
          <w:color w:val="000000"/>
          <w:sz w:val="24"/>
          <w:szCs w:val="24"/>
          <w:lang w:eastAsia="sq-AL"/>
        </w:rPr>
        <w:t xml:space="preserve">ndryshohet </w:t>
      </w:r>
      <w:r w:rsidR="00F05159" w:rsidRPr="007554FF">
        <w:rPr>
          <w:rFonts w:ascii="Times New Roman" w:hAnsi="Times New Roman"/>
          <w:bCs/>
          <w:color w:val="000000"/>
          <w:sz w:val="24"/>
          <w:szCs w:val="24"/>
          <w:lang w:eastAsia="sq-AL"/>
        </w:rPr>
        <w:t>me këtë përmbajtje:</w:t>
      </w:r>
    </w:p>
    <w:p w:rsidR="00F05159" w:rsidRPr="007554FF" w:rsidRDefault="00F05159" w:rsidP="008A0F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sq-AL"/>
        </w:rPr>
      </w:pPr>
    </w:p>
    <w:p w:rsidR="00F05159" w:rsidRPr="007554FF" w:rsidRDefault="00F05159" w:rsidP="008A0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54FF">
        <w:rPr>
          <w:rFonts w:ascii="Times New Roman" w:hAnsi="Times New Roman"/>
          <w:sz w:val="24"/>
          <w:szCs w:val="24"/>
        </w:rPr>
        <w:t xml:space="preserve"> “5. </w:t>
      </w:r>
      <w:r w:rsidRPr="00F05159">
        <w:rPr>
          <w:rFonts w:ascii="Times New Roman" w:hAnsi="Times New Roman"/>
          <w:i/>
          <w:sz w:val="24"/>
          <w:szCs w:val="24"/>
        </w:rPr>
        <w:t xml:space="preserve">Këshilli i Ministrave ka të drejtë të caktojë me vendim që për ndonjë kategori personash të tatueshëm periudha tatimore të jetë më e gjatë se një muaj, por </w:t>
      </w:r>
      <w:proofErr w:type="gramStart"/>
      <w:r w:rsidRPr="00F05159">
        <w:rPr>
          <w:rFonts w:ascii="Times New Roman" w:hAnsi="Times New Roman"/>
          <w:i/>
          <w:sz w:val="24"/>
          <w:szCs w:val="24"/>
        </w:rPr>
        <w:t>jo</w:t>
      </w:r>
      <w:proofErr w:type="gramEnd"/>
      <w:r w:rsidRPr="00F05159">
        <w:rPr>
          <w:rFonts w:ascii="Times New Roman" w:hAnsi="Times New Roman"/>
          <w:i/>
          <w:sz w:val="24"/>
          <w:szCs w:val="24"/>
        </w:rPr>
        <w:t xml:space="preserve"> më e gjatë se një vit kalendarik</w:t>
      </w:r>
      <w:r>
        <w:rPr>
          <w:rFonts w:ascii="Times New Roman" w:hAnsi="Times New Roman"/>
          <w:sz w:val="24"/>
          <w:szCs w:val="24"/>
        </w:rPr>
        <w:t>.</w:t>
      </w:r>
      <w:r w:rsidRPr="007554FF">
        <w:rPr>
          <w:rFonts w:ascii="Times New Roman" w:hAnsi="Times New Roman"/>
          <w:sz w:val="24"/>
          <w:szCs w:val="24"/>
        </w:rPr>
        <w:t>”</w:t>
      </w:r>
    </w:p>
    <w:p w:rsidR="0012738D" w:rsidRPr="00DD766B" w:rsidRDefault="0012738D" w:rsidP="008A0F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05159" w:rsidRPr="007554FF" w:rsidRDefault="004A37FF" w:rsidP="008A0F6E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 xml:space="preserve">Neni 3 propozon që </w:t>
      </w:r>
      <w:r w:rsidR="00F05159" w:rsidRPr="007554FF">
        <w:rPr>
          <w:rFonts w:ascii="Times New Roman" w:hAnsi="Times New Roman"/>
          <w:bCs/>
          <w:sz w:val="24"/>
          <w:szCs w:val="24"/>
          <w:lang w:val="sq-AL"/>
        </w:rPr>
        <w:t>në fund të pikës 2</w:t>
      </w:r>
      <w:r w:rsidR="002E590F">
        <w:rPr>
          <w:rFonts w:ascii="Times New Roman" w:hAnsi="Times New Roman"/>
          <w:bCs/>
          <w:sz w:val="24"/>
          <w:szCs w:val="24"/>
          <w:lang w:val="sq-AL"/>
        </w:rPr>
        <w:t xml:space="preserve"> të nenit 109</w:t>
      </w:r>
      <w:r w:rsidR="00F05159" w:rsidRPr="007554FF">
        <w:rPr>
          <w:rFonts w:ascii="Times New Roman" w:hAnsi="Times New Roman"/>
          <w:bCs/>
          <w:sz w:val="24"/>
          <w:szCs w:val="24"/>
          <w:lang w:val="sq-AL"/>
        </w:rPr>
        <w:t>, shtohet fjalia me këtë përmbajtje:</w:t>
      </w:r>
    </w:p>
    <w:p w:rsidR="00F05159" w:rsidRPr="007554FF" w:rsidRDefault="00F05159" w:rsidP="008A0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05159">
        <w:rPr>
          <w:rFonts w:ascii="Times New Roman" w:hAnsi="Times New Roman"/>
          <w:i/>
          <w:sz w:val="24"/>
          <w:szCs w:val="24"/>
        </w:rPr>
        <w:t xml:space="preserve">Këshilli i Ministrave ka të drejtë të caktojë me vendim që për ndonjë kategori personash të tatueshëm, regjistrat përmbledhës që shoqërojnë deklaratën e TVSH-së, të jenë për një periudhë më të gjatë se muaji, por </w:t>
      </w:r>
      <w:proofErr w:type="gramStart"/>
      <w:r w:rsidRPr="00F05159">
        <w:rPr>
          <w:rFonts w:ascii="Times New Roman" w:hAnsi="Times New Roman"/>
          <w:i/>
          <w:sz w:val="24"/>
          <w:szCs w:val="24"/>
        </w:rPr>
        <w:t>jo</w:t>
      </w:r>
      <w:proofErr w:type="gramEnd"/>
      <w:r w:rsidRPr="00F05159">
        <w:rPr>
          <w:rFonts w:ascii="Times New Roman" w:hAnsi="Times New Roman"/>
          <w:i/>
          <w:sz w:val="24"/>
          <w:szCs w:val="24"/>
        </w:rPr>
        <w:t xml:space="preserve"> më e gjatë se një vit kalendarik</w:t>
      </w:r>
      <w:r w:rsidRPr="007554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:rsidR="00711EFE" w:rsidRDefault="004A37FF" w:rsidP="008A0F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Neni 4</w:t>
      </w:r>
      <w:r w:rsidR="0055248E" w:rsidRPr="00DD766B">
        <w:rPr>
          <w:rFonts w:ascii="Times New Roman" w:hAnsi="Times New Roman"/>
          <w:sz w:val="24"/>
          <w:szCs w:val="24"/>
          <w:lang w:val="sq-AL"/>
        </w:rPr>
        <w:t xml:space="preserve"> propozon q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55248E" w:rsidRPr="00DD766B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4E290F" w:rsidRPr="00DD766B">
        <w:rPr>
          <w:rFonts w:ascii="Times New Roman" w:hAnsi="Times New Roman"/>
          <w:sz w:val="24"/>
          <w:szCs w:val="24"/>
          <w:lang w:val="sq-AL"/>
        </w:rPr>
        <w:t xml:space="preserve"> nenin 117</w:t>
      </w:r>
      <w:r w:rsidR="0055248E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5248E" w:rsidRPr="00DD766B">
        <w:rPr>
          <w:rFonts w:ascii="Times New Roman" w:hAnsi="Times New Roman"/>
          <w:bCs/>
          <w:sz w:val="24"/>
          <w:szCs w:val="24"/>
          <w:lang w:val="sq-AL"/>
        </w:rPr>
        <w:t xml:space="preserve">pika 2, shtohet </w:t>
      </w:r>
      <w:r w:rsidR="004E290F" w:rsidRPr="00DD766B">
        <w:rPr>
          <w:rFonts w:ascii="Times New Roman" w:hAnsi="Times New Roman"/>
          <w:bCs/>
          <w:sz w:val="24"/>
          <w:szCs w:val="24"/>
          <w:lang w:val="sq-AL"/>
        </w:rPr>
        <w:t>togfjal</w:t>
      </w:r>
      <w:r w:rsidR="003F79A9" w:rsidRPr="00DD766B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4E290F" w:rsidRPr="00DD766B">
        <w:rPr>
          <w:rFonts w:ascii="Times New Roman" w:hAnsi="Times New Roman"/>
          <w:bCs/>
          <w:sz w:val="24"/>
          <w:szCs w:val="24"/>
          <w:lang w:val="sq-AL"/>
        </w:rPr>
        <w:t>shi</w:t>
      </w:r>
      <w:r w:rsidR="0055248E" w:rsidRPr="00DD766B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4E290F" w:rsidRPr="00DD766B">
        <w:rPr>
          <w:rFonts w:ascii="Times New Roman" w:hAnsi="Times New Roman"/>
          <w:sz w:val="24"/>
          <w:szCs w:val="24"/>
        </w:rPr>
        <w:t>“</w:t>
      </w:r>
      <w:r w:rsidR="004E290F" w:rsidRPr="00DD766B">
        <w:rPr>
          <w:rFonts w:ascii="Times New Roman" w:hAnsi="Times New Roman"/>
          <w:i/>
          <w:sz w:val="24"/>
          <w:szCs w:val="24"/>
        </w:rPr>
        <w:t>dhe rastet e përjashtimeve përcaktohen</w:t>
      </w:r>
      <w:r w:rsidR="004E290F" w:rsidRPr="00DD766B">
        <w:rPr>
          <w:rFonts w:ascii="Times New Roman" w:hAnsi="Times New Roman"/>
          <w:sz w:val="24"/>
          <w:szCs w:val="24"/>
        </w:rPr>
        <w:t xml:space="preserve">” </w:t>
      </w:r>
      <w:r w:rsidR="00711EFE" w:rsidRPr="00DD766B">
        <w:rPr>
          <w:rFonts w:ascii="Times New Roman" w:hAnsi="Times New Roman"/>
          <w:sz w:val="24"/>
          <w:szCs w:val="24"/>
        </w:rPr>
        <w:t xml:space="preserve">dhe kjo pikë riformulohet </w:t>
      </w:r>
      <w:r w:rsidR="0055248E" w:rsidRPr="00DD766B">
        <w:rPr>
          <w:rFonts w:ascii="Times New Roman" w:hAnsi="Times New Roman"/>
          <w:bCs/>
          <w:sz w:val="24"/>
          <w:szCs w:val="24"/>
          <w:lang w:val="sq-AL"/>
        </w:rPr>
        <w:t>me këtë përmbajtje:</w:t>
      </w:r>
    </w:p>
    <w:p w:rsidR="00F05159" w:rsidRPr="00DD766B" w:rsidRDefault="00F05159" w:rsidP="008A0F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:rsidR="00711EFE" w:rsidRPr="00DD766B" w:rsidRDefault="00711EFE" w:rsidP="008A0F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val="sq-AL"/>
        </w:rPr>
      </w:pPr>
      <w:r w:rsidRPr="00DD766B">
        <w:rPr>
          <w:rFonts w:ascii="Times New Roman" w:hAnsi="Times New Roman"/>
          <w:i/>
          <w:sz w:val="24"/>
          <w:szCs w:val="24"/>
        </w:rPr>
        <w:lastRenderedPageBreak/>
        <w:t xml:space="preserve">“2. </w:t>
      </w:r>
      <w:r w:rsidR="008A0F6E" w:rsidRPr="008A0F6E">
        <w:rPr>
          <w:rFonts w:ascii="Times New Roman" w:hAnsi="Times New Roman"/>
          <w:i/>
          <w:sz w:val="24"/>
          <w:szCs w:val="24"/>
        </w:rPr>
        <w:t>Kufiri minimal i regjistrimit për TVSH-në, rastet e përjashtimit apo kufiri minimal i regjistrimit për kategori të veçanta, përcaktohen me vendim të Këshillit të Ministrave</w:t>
      </w:r>
      <w:r w:rsidRPr="00DD766B">
        <w:rPr>
          <w:rFonts w:ascii="Times New Roman" w:hAnsi="Times New Roman"/>
          <w:i/>
          <w:sz w:val="24"/>
          <w:szCs w:val="24"/>
        </w:rPr>
        <w:t>”.</w:t>
      </w:r>
    </w:p>
    <w:p w:rsidR="00085CCA" w:rsidRPr="00DD766B" w:rsidRDefault="00085CCA" w:rsidP="008A0F6E">
      <w:pPr>
        <w:pStyle w:val="Subtitle"/>
        <w:jc w:val="both"/>
        <w:rPr>
          <w:rFonts w:ascii="Times New Roman" w:hAnsi="Times New Roman"/>
          <w:color w:val="000000" w:themeColor="text1"/>
          <w:lang w:val="sq-AL"/>
        </w:rPr>
      </w:pPr>
    </w:p>
    <w:p w:rsidR="00085CCA" w:rsidRPr="00DD766B" w:rsidRDefault="00085CCA" w:rsidP="008A0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>Në neni</w:t>
      </w:r>
      <w:r w:rsidR="00FD43D9"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 </w:t>
      </w:r>
      <w:r w:rsidR="004A37FF"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>5</w:t>
      </w:r>
      <w:r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të projektligjit parash</w:t>
      </w:r>
      <w:r w:rsidR="0055248E"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>i</w:t>
      </w:r>
      <w:r w:rsidRPr="00DD766B">
        <w:rPr>
          <w:rFonts w:ascii="Times New Roman" w:hAnsi="Times New Roman"/>
          <w:color w:val="000000" w:themeColor="text1"/>
          <w:sz w:val="24"/>
          <w:szCs w:val="24"/>
          <w:lang w:val="sq-AL"/>
        </w:rPr>
        <w:t>kohet hyrja në fuqi e ligjit 15 ditë pas botimit në Fletoren Zyrtare.</w:t>
      </w:r>
    </w:p>
    <w:p w:rsidR="00ED0D14" w:rsidRPr="00DD766B" w:rsidRDefault="00ED0D14" w:rsidP="008A0F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085CCA" w:rsidRPr="00DD766B" w:rsidRDefault="00085CCA" w:rsidP="008A0F6E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>INSTITUCIONET DHE ORGANET QË NGARKOHEN PËR ZBATIMIN E KËTIJ AKTI</w:t>
      </w:r>
      <w:r w:rsidR="00ED0D14" w:rsidRPr="00DD766B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085CCA" w:rsidRPr="00DD766B" w:rsidRDefault="00085CCA" w:rsidP="008A0F6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Për zbatimin e këtij projektligji, ngarkohet Ministria e Financave</w:t>
      </w:r>
      <w:r w:rsidR="000C4C8C" w:rsidRPr="00DD766B">
        <w:rPr>
          <w:rFonts w:ascii="Times New Roman" w:hAnsi="Times New Roman"/>
          <w:sz w:val="24"/>
          <w:szCs w:val="24"/>
          <w:lang w:val="sq-AL"/>
        </w:rPr>
        <w:t xml:space="preserve"> dhe Ekonomis</w:t>
      </w:r>
      <w:r w:rsidR="00882871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dhe Drej</w:t>
      </w:r>
      <w:r w:rsidR="00A65CE3" w:rsidRPr="00DD766B">
        <w:rPr>
          <w:rFonts w:ascii="Times New Roman" w:hAnsi="Times New Roman"/>
          <w:sz w:val="24"/>
          <w:szCs w:val="24"/>
          <w:lang w:val="sq-AL"/>
        </w:rPr>
        <w:t>toria e Përgjithshme e Tatimeve.</w:t>
      </w:r>
    </w:p>
    <w:p w:rsidR="00085CCA" w:rsidRPr="00DD766B" w:rsidRDefault="00085CCA" w:rsidP="008A0F6E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>PERSONAT DHE INSTITUCIONET QË KANË KONTRIBUAR NË HARTIMIN E PROJEKT-AKTIT</w:t>
      </w:r>
      <w:r w:rsidR="002432E1" w:rsidRPr="00DD766B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085CCA" w:rsidRPr="00DD766B" w:rsidRDefault="00085CCA" w:rsidP="008A0F6E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:rsidR="002432E1" w:rsidRPr="00DD766B" w:rsidRDefault="00085CCA" w:rsidP="008A0F6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Ministria e Financave</w:t>
      </w:r>
      <w:r w:rsidR="00FC5665" w:rsidRPr="00DD766B">
        <w:rPr>
          <w:rFonts w:ascii="Times New Roman" w:hAnsi="Times New Roman"/>
          <w:sz w:val="24"/>
          <w:szCs w:val="24"/>
          <w:lang w:val="sq-AL"/>
        </w:rPr>
        <w:t xml:space="preserve"> dhe Ekonomis</w:t>
      </w:r>
      <w:r w:rsidR="003F79A9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ka draftuar projektligjin. Ky projektligj </w:t>
      </w:r>
      <w:r w:rsidR="00640BD2" w:rsidRPr="00DD766B">
        <w:rPr>
          <w:rFonts w:ascii="Times New Roman" w:hAnsi="Times New Roman"/>
          <w:sz w:val="24"/>
          <w:szCs w:val="24"/>
          <w:lang w:val="sq-AL"/>
        </w:rPr>
        <w:t>iu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5110D" w:rsidRPr="00DD766B">
        <w:rPr>
          <w:rFonts w:ascii="Times New Roman" w:hAnsi="Times New Roman"/>
          <w:sz w:val="24"/>
          <w:szCs w:val="24"/>
          <w:lang w:val="sq-AL"/>
        </w:rPr>
        <w:t>d</w:t>
      </w:r>
      <w:r w:rsidR="003F0AA7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95110D" w:rsidRPr="00DD766B">
        <w:rPr>
          <w:rFonts w:ascii="Times New Roman" w:hAnsi="Times New Roman"/>
          <w:sz w:val="24"/>
          <w:szCs w:val="24"/>
          <w:lang w:val="sq-AL"/>
        </w:rPr>
        <w:t>rgua p</w:t>
      </w:r>
      <w:r w:rsidR="003F0AA7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95110D" w:rsidRPr="00DD766B">
        <w:rPr>
          <w:rFonts w:ascii="Times New Roman" w:hAnsi="Times New Roman"/>
          <w:sz w:val="24"/>
          <w:szCs w:val="24"/>
          <w:lang w:val="sq-AL"/>
        </w:rPr>
        <w:t>r mendim</w:t>
      </w:r>
      <w:r w:rsidR="001C3F0B" w:rsidRPr="00DD766B">
        <w:rPr>
          <w:rFonts w:ascii="Times New Roman" w:hAnsi="Times New Roman"/>
          <w:sz w:val="24"/>
          <w:szCs w:val="24"/>
          <w:lang w:val="sq-AL"/>
        </w:rPr>
        <w:t xml:space="preserve"> Ministrisë së Drejtesis</w:t>
      </w:r>
      <w:r w:rsidR="002E590F">
        <w:rPr>
          <w:rFonts w:ascii="Times New Roman" w:hAnsi="Times New Roman"/>
          <w:sz w:val="24"/>
          <w:szCs w:val="24"/>
          <w:lang w:val="sq-AL"/>
        </w:rPr>
        <w:t>ë</w:t>
      </w:r>
      <w:r w:rsidR="00A65CE3" w:rsidRPr="00DD766B">
        <w:rPr>
          <w:rFonts w:ascii="Times New Roman" w:hAnsi="Times New Roman"/>
          <w:sz w:val="24"/>
          <w:szCs w:val="24"/>
          <w:lang w:val="sq-AL"/>
        </w:rPr>
        <w:t>,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7194A" w:rsidRPr="00DD766B">
        <w:rPr>
          <w:rFonts w:ascii="Times New Roman" w:hAnsi="Times New Roman"/>
          <w:sz w:val="24"/>
          <w:szCs w:val="24"/>
          <w:lang w:val="sq-AL"/>
        </w:rPr>
        <w:t>Ministris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97194A" w:rsidRPr="00DD766B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97194A" w:rsidRPr="00DD766B">
        <w:rPr>
          <w:rFonts w:ascii="Times New Roman" w:hAnsi="Times New Roman"/>
          <w:sz w:val="24"/>
          <w:szCs w:val="24"/>
          <w:lang w:val="sq-AL"/>
        </w:rPr>
        <w:t xml:space="preserve"> Turizmit dhe Mjedisit, Ministrit t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97194A" w:rsidRPr="00DD766B">
        <w:rPr>
          <w:rFonts w:ascii="Times New Roman" w:hAnsi="Times New Roman"/>
          <w:sz w:val="24"/>
          <w:szCs w:val="24"/>
          <w:lang w:val="sq-AL"/>
        </w:rPr>
        <w:t xml:space="preserve"> Shtetit p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97194A" w:rsidRPr="00DD766B">
        <w:rPr>
          <w:rFonts w:ascii="Times New Roman" w:hAnsi="Times New Roman"/>
          <w:sz w:val="24"/>
          <w:szCs w:val="24"/>
          <w:lang w:val="sq-AL"/>
        </w:rPr>
        <w:t>r Mbrojtjen e Sip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97194A" w:rsidRPr="00DD766B">
        <w:rPr>
          <w:rFonts w:ascii="Times New Roman" w:hAnsi="Times New Roman"/>
          <w:sz w:val="24"/>
          <w:szCs w:val="24"/>
          <w:lang w:val="sq-AL"/>
        </w:rPr>
        <w:t>rmarrjes</w:t>
      </w:r>
      <w:r w:rsidR="00181BFA" w:rsidRPr="00DD766B">
        <w:rPr>
          <w:rFonts w:ascii="Times New Roman" w:hAnsi="Times New Roman"/>
          <w:sz w:val="24"/>
          <w:szCs w:val="24"/>
          <w:lang w:val="sq-AL"/>
        </w:rPr>
        <w:t>, Ministris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181BFA" w:rsidRPr="00DD766B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181BFA" w:rsidRPr="00DD766B">
        <w:rPr>
          <w:rFonts w:ascii="Times New Roman" w:hAnsi="Times New Roman"/>
          <w:sz w:val="24"/>
          <w:szCs w:val="24"/>
          <w:lang w:val="sq-AL"/>
        </w:rPr>
        <w:t>r Europ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181BFA" w:rsidRPr="00DD766B">
        <w:rPr>
          <w:rFonts w:ascii="Times New Roman" w:hAnsi="Times New Roman"/>
          <w:sz w:val="24"/>
          <w:szCs w:val="24"/>
          <w:lang w:val="sq-AL"/>
        </w:rPr>
        <w:t>n dhe Pun</w:t>
      </w:r>
      <w:r w:rsidR="00F73C3D" w:rsidRPr="00DD766B">
        <w:rPr>
          <w:rFonts w:ascii="Times New Roman" w:hAnsi="Times New Roman"/>
          <w:sz w:val="24"/>
          <w:szCs w:val="24"/>
          <w:lang w:val="sq-AL"/>
        </w:rPr>
        <w:t>ë</w:t>
      </w:r>
      <w:r w:rsidR="00181BFA" w:rsidRPr="00DD766B">
        <w:rPr>
          <w:rFonts w:ascii="Times New Roman" w:hAnsi="Times New Roman"/>
          <w:sz w:val="24"/>
          <w:szCs w:val="24"/>
          <w:lang w:val="sq-AL"/>
        </w:rPr>
        <w:t>t e Jashtme</w:t>
      </w:r>
      <w:r w:rsidR="0097194A" w:rsidRPr="00DD766B">
        <w:rPr>
          <w:rFonts w:ascii="Times New Roman" w:hAnsi="Times New Roman"/>
          <w:sz w:val="24"/>
          <w:szCs w:val="24"/>
          <w:lang w:val="sq-AL"/>
        </w:rPr>
        <w:t>.</w:t>
      </w:r>
    </w:p>
    <w:p w:rsidR="00085CCA" w:rsidRPr="00DD766B" w:rsidRDefault="00085CCA" w:rsidP="008A0F6E">
      <w:pPr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>RAPORTI I VLERËSIMIT TË TË ARDHURAVE DHE SHPENZIMEVE BUXHETORE</w:t>
      </w:r>
      <w:r w:rsidR="002432E1" w:rsidRPr="00DD766B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2432E1" w:rsidRPr="00DD766B" w:rsidRDefault="002432E1" w:rsidP="008A0F6E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2738D" w:rsidRPr="00DD766B" w:rsidRDefault="00F212F2" w:rsidP="008A0F6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DD766B">
        <w:rPr>
          <w:rFonts w:ascii="Times New Roman" w:hAnsi="Times New Roman"/>
          <w:sz w:val="24"/>
          <w:szCs w:val="24"/>
          <w:lang w:val="sq-AL"/>
        </w:rPr>
        <w:t>I</w:t>
      </w:r>
      <w:r w:rsidR="00085CCA" w:rsidRPr="00DD766B">
        <w:rPr>
          <w:rFonts w:ascii="Times New Roman" w:hAnsi="Times New Roman"/>
          <w:sz w:val="24"/>
          <w:szCs w:val="24"/>
          <w:lang w:val="sq-AL"/>
        </w:rPr>
        <w:t>mpakt</w:t>
      </w:r>
      <w:r w:rsidRPr="00DD766B">
        <w:rPr>
          <w:rFonts w:ascii="Times New Roman" w:hAnsi="Times New Roman"/>
          <w:sz w:val="24"/>
          <w:szCs w:val="24"/>
          <w:lang w:val="sq-AL"/>
        </w:rPr>
        <w:t>et e k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>tij projektligji nuk mund t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maten pasi reduktimi i shkall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>s s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B4A11" w:rsidRPr="00DD766B">
        <w:rPr>
          <w:rFonts w:ascii="Times New Roman" w:hAnsi="Times New Roman"/>
          <w:sz w:val="24"/>
          <w:szCs w:val="24"/>
          <w:lang w:val="sq-AL"/>
        </w:rPr>
        <w:t>TVSH</w:t>
      </w:r>
      <w:r w:rsidRPr="00DD766B">
        <w:rPr>
          <w:rFonts w:ascii="Times New Roman" w:hAnsi="Times New Roman"/>
          <w:sz w:val="24"/>
          <w:szCs w:val="24"/>
          <w:lang w:val="sq-AL"/>
        </w:rPr>
        <w:t>-s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i referohet nj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kategorie t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caktuar tatimpaguesish, </w:t>
      </w:r>
      <w:r w:rsidR="000318D2">
        <w:rPr>
          <w:rFonts w:ascii="Times New Roman" w:hAnsi="Times New Roman"/>
          <w:sz w:val="24"/>
          <w:szCs w:val="24"/>
          <w:lang w:val="sq-AL"/>
        </w:rPr>
        <w:t>sipas p</w:t>
      </w:r>
      <w:r w:rsidR="002E590F">
        <w:rPr>
          <w:rFonts w:ascii="Times New Roman" w:hAnsi="Times New Roman"/>
          <w:sz w:val="24"/>
          <w:szCs w:val="24"/>
          <w:lang w:val="sq-AL"/>
        </w:rPr>
        <w:t>ë</w:t>
      </w:r>
      <w:r w:rsidR="000318D2">
        <w:rPr>
          <w:rFonts w:ascii="Times New Roman" w:hAnsi="Times New Roman"/>
          <w:sz w:val="24"/>
          <w:szCs w:val="24"/>
          <w:lang w:val="sq-AL"/>
        </w:rPr>
        <w:t>rcaktimve n</w:t>
      </w:r>
      <w:r w:rsidR="002E590F">
        <w:rPr>
          <w:rFonts w:ascii="Times New Roman" w:hAnsi="Times New Roman"/>
          <w:sz w:val="24"/>
          <w:szCs w:val="24"/>
          <w:lang w:val="sq-AL"/>
        </w:rPr>
        <w:t>ë</w:t>
      </w:r>
      <w:r w:rsidR="000318D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D766B">
        <w:rPr>
          <w:rFonts w:ascii="Times New Roman" w:hAnsi="Times New Roman"/>
          <w:sz w:val="24"/>
          <w:szCs w:val="24"/>
          <w:lang w:val="sq-AL"/>
        </w:rPr>
        <w:t>legjislacionin e turizmit, megjithat</w:t>
      </w:r>
      <w:r w:rsidR="00D428C3" w:rsidRPr="00DD766B">
        <w:rPr>
          <w:rFonts w:ascii="Times New Roman" w:hAnsi="Times New Roman"/>
          <w:sz w:val="24"/>
          <w:szCs w:val="24"/>
          <w:lang w:val="sq-AL"/>
        </w:rPr>
        <w:t>ë</w:t>
      </w:r>
      <w:r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85CCA" w:rsidRPr="00DD766B">
        <w:rPr>
          <w:rFonts w:ascii="Times New Roman" w:hAnsi="Times New Roman"/>
          <w:sz w:val="24"/>
          <w:szCs w:val="24"/>
          <w:lang w:val="sq-AL"/>
        </w:rPr>
        <w:t>pritet të sjellë një impakt pozitiv dhe rritje në të ardhura nga zh</w:t>
      </w:r>
      <w:r w:rsidR="0012738D" w:rsidRPr="00DD766B">
        <w:rPr>
          <w:rFonts w:ascii="Times New Roman" w:hAnsi="Times New Roman"/>
          <w:sz w:val="24"/>
          <w:szCs w:val="24"/>
          <w:lang w:val="sq-AL"/>
        </w:rPr>
        <w:t>villimi i sektorit të turizmit.</w:t>
      </w:r>
      <w:r w:rsidR="00177470" w:rsidRPr="00DD766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56D44" w:rsidRPr="00DD766B" w:rsidRDefault="00A56D44" w:rsidP="008A0F6E">
      <w:pPr>
        <w:tabs>
          <w:tab w:val="left" w:pos="5610"/>
          <w:tab w:val="right" w:pos="9360"/>
        </w:tabs>
        <w:rPr>
          <w:rFonts w:ascii="Times New Roman" w:hAnsi="Times New Roman"/>
          <w:b/>
          <w:sz w:val="24"/>
          <w:szCs w:val="24"/>
          <w:lang w:val="sq-AL"/>
        </w:rPr>
      </w:pPr>
    </w:p>
    <w:p w:rsidR="00A56D44" w:rsidRPr="00DD766B" w:rsidRDefault="00A56D44" w:rsidP="00A56D44">
      <w:pPr>
        <w:tabs>
          <w:tab w:val="left" w:pos="5610"/>
          <w:tab w:val="right" w:pos="9360"/>
        </w:tabs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MINISTËR I FINANCAVE DHE EKONOMISË</w:t>
      </w:r>
    </w:p>
    <w:p w:rsidR="00A56D44" w:rsidRPr="00DD766B" w:rsidRDefault="00A56D44" w:rsidP="00A56D44">
      <w:pPr>
        <w:tabs>
          <w:tab w:val="left" w:pos="5610"/>
          <w:tab w:val="right" w:pos="9360"/>
        </w:tabs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DD766B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ARBEN AHMETAJ </w:t>
      </w:r>
    </w:p>
    <w:p w:rsidR="002E590F" w:rsidRPr="00DD766B" w:rsidRDefault="002E590F" w:rsidP="00A56D44">
      <w:pPr>
        <w:spacing w:after="0"/>
        <w:ind w:left="648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sectPr w:rsidR="002E590F" w:rsidRPr="00DD766B" w:rsidSect="00ED0D14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21" w:rsidRDefault="00A73921" w:rsidP="008A0F6E">
      <w:pPr>
        <w:spacing w:after="0" w:line="240" w:lineRule="auto"/>
      </w:pPr>
      <w:r>
        <w:separator/>
      </w:r>
    </w:p>
  </w:endnote>
  <w:endnote w:type="continuationSeparator" w:id="0">
    <w:p w:rsidR="00A73921" w:rsidRDefault="00A73921" w:rsidP="008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072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F6E" w:rsidRDefault="008A0F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5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0F6E" w:rsidRDefault="008A0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21" w:rsidRDefault="00A73921" w:rsidP="008A0F6E">
      <w:pPr>
        <w:spacing w:after="0" w:line="240" w:lineRule="auto"/>
      </w:pPr>
      <w:r>
        <w:separator/>
      </w:r>
    </w:p>
  </w:footnote>
  <w:footnote w:type="continuationSeparator" w:id="0">
    <w:p w:rsidR="00A73921" w:rsidRDefault="00A73921" w:rsidP="008A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0219"/>
    <w:multiLevelType w:val="hybridMultilevel"/>
    <w:tmpl w:val="53903AC8"/>
    <w:lvl w:ilvl="0" w:tplc="48DC88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A3A71"/>
    <w:multiLevelType w:val="hybridMultilevel"/>
    <w:tmpl w:val="35429B2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A"/>
    <w:rsid w:val="0000446E"/>
    <w:rsid w:val="000129F0"/>
    <w:rsid w:val="00026A39"/>
    <w:rsid w:val="000318D2"/>
    <w:rsid w:val="0004366C"/>
    <w:rsid w:val="000515D6"/>
    <w:rsid w:val="00074040"/>
    <w:rsid w:val="00081242"/>
    <w:rsid w:val="00085CCA"/>
    <w:rsid w:val="000B2F36"/>
    <w:rsid w:val="000C4C8C"/>
    <w:rsid w:val="000D58D0"/>
    <w:rsid w:val="000D6B38"/>
    <w:rsid w:val="000D7821"/>
    <w:rsid w:val="000E07D4"/>
    <w:rsid w:val="000F57FF"/>
    <w:rsid w:val="00115B67"/>
    <w:rsid w:val="001200D8"/>
    <w:rsid w:val="0012738D"/>
    <w:rsid w:val="00134EE5"/>
    <w:rsid w:val="00155563"/>
    <w:rsid w:val="00173990"/>
    <w:rsid w:val="00175326"/>
    <w:rsid w:val="00175DDA"/>
    <w:rsid w:val="00176D79"/>
    <w:rsid w:val="00177470"/>
    <w:rsid w:val="00177E06"/>
    <w:rsid w:val="0018180C"/>
    <w:rsid w:val="00181BFA"/>
    <w:rsid w:val="001C066C"/>
    <w:rsid w:val="001C3F0B"/>
    <w:rsid w:val="001D5614"/>
    <w:rsid w:val="001D7482"/>
    <w:rsid w:val="001F216E"/>
    <w:rsid w:val="002329E1"/>
    <w:rsid w:val="00241921"/>
    <w:rsid w:val="002432E1"/>
    <w:rsid w:val="00253510"/>
    <w:rsid w:val="00280257"/>
    <w:rsid w:val="0029358D"/>
    <w:rsid w:val="002B49C1"/>
    <w:rsid w:val="002D0B71"/>
    <w:rsid w:val="002E28FC"/>
    <w:rsid w:val="002E590F"/>
    <w:rsid w:val="002F03FE"/>
    <w:rsid w:val="003046DC"/>
    <w:rsid w:val="00311EE8"/>
    <w:rsid w:val="00331B72"/>
    <w:rsid w:val="00332084"/>
    <w:rsid w:val="00343DB1"/>
    <w:rsid w:val="00350218"/>
    <w:rsid w:val="003579F6"/>
    <w:rsid w:val="00357E21"/>
    <w:rsid w:val="00371221"/>
    <w:rsid w:val="003724CF"/>
    <w:rsid w:val="00375896"/>
    <w:rsid w:val="0038378F"/>
    <w:rsid w:val="0038421E"/>
    <w:rsid w:val="00391AD8"/>
    <w:rsid w:val="003B7C52"/>
    <w:rsid w:val="003C6F6B"/>
    <w:rsid w:val="003D15C8"/>
    <w:rsid w:val="003F0AA7"/>
    <w:rsid w:val="003F79A9"/>
    <w:rsid w:val="004426CF"/>
    <w:rsid w:val="00450C27"/>
    <w:rsid w:val="00451AEE"/>
    <w:rsid w:val="00467965"/>
    <w:rsid w:val="004869FF"/>
    <w:rsid w:val="004A37FF"/>
    <w:rsid w:val="004B1D11"/>
    <w:rsid w:val="004B4A11"/>
    <w:rsid w:val="004C59E0"/>
    <w:rsid w:val="004D03FB"/>
    <w:rsid w:val="004E1D4A"/>
    <w:rsid w:val="004E290F"/>
    <w:rsid w:val="00551B11"/>
    <w:rsid w:val="0055248E"/>
    <w:rsid w:val="00565DF2"/>
    <w:rsid w:val="00575A54"/>
    <w:rsid w:val="005834C6"/>
    <w:rsid w:val="005A1810"/>
    <w:rsid w:val="005B452C"/>
    <w:rsid w:val="005E027E"/>
    <w:rsid w:val="005E3115"/>
    <w:rsid w:val="005E6731"/>
    <w:rsid w:val="00604FE2"/>
    <w:rsid w:val="00637E51"/>
    <w:rsid w:val="00640BD2"/>
    <w:rsid w:val="00640F76"/>
    <w:rsid w:val="00657AA8"/>
    <w:rsid w:val="00665FB4"/>
    <w:rsid w:val="00673265"/>
    <w:rsid w:val="00684672"/>
    <w:rsid w:val="0069191F"/>
    <w:rsid w:val="006B60E3"/>
    <w:rsid w:val="006C79C9"/>
    <w:rsid w:val="00711EFE"/>
    <w:rsid w:val="007208F0"/>
    <w:rsid w:val="007323D7"/>
    <w:rsid w:val="007A36A6"/>
    <w:rsid w:val="007A7BF4"/>
    <w:rsid w:val="007B58D9"/>
    <w:rsid w:val="007E1832"/>
    <w:rsid w:val="007E6507"/>
    <w:rsid w:val="007F7FB6"/>
    <w:rsid w:val="00813376"/>
    <w:rsid w:val="008448C9"/>
    <w:rsid w:val="00856B30"/>
    <w:rsid w:val="00882871"/>
    <w:rsid w:val="008A0F6E"/>
    <w:rsid w:val="008A6DF5"/>
    <w:rsid w:val="008D36C0"/>
    <w:rsid w:val="00901201"/>
    <w:rsid w:val="00902DA5"/>
    <w:rsid w:val="00950AD8"/>
    <w:rsid w:val="0095110D"/>
    <w:rsid w:val="0096325A"/>
    <w:rsid w:val="0097194A"/>
    <w:rsid w:val="009869A6"/>
    <w:rsid w:val="009A0CB7"/>
    <w:rsid w:val="009B00C7"/>
    <w:rsid w:val="009D5018"/>
    <w:rsid w:val="009E5A08"/>
    <w:rsid w:val="009F58AA"/>
    <w:rsid w:val="009F67F7"/>
    <w:rsid w:val="00A04B65"/>
    <w:rsid w:val="00A064E4"/>
    <w:rsid w:val="00A150D1"/>
    <w:rsid w:val="00A16CBB"/>
    <w:rsid w:val="00A20766"/>
    <w:rsid w:val="00A30897"/>
    <w:rsid w:val="00A37E58"/>
    <w:rsid w:val="00A54CA5"/>
    <w:rsid w:val="00A56D44"/>
    <w:rsid w:val="00A65CE3"/>
    <w:rsid w:val="00A66E09"/>
    <w:rsid w:val="00A73921"/>
    <w:rsid w:val="00A73FF8"/>
    <w:rsid w:val="00A94366"/>
    <w:rsid w:val="00A94831"/>
    <w:rsid w:val="00AA7570"/>
    <w:rsid w:val="00AB505F"/>
    <w:rsid w:val="00AB51DE"/>
    <w:rsid w:val="00AC2ED4"/>
    <w:rsid w:val="00AC72E0"/>
    <w:rsid w:val="00B12580"/>
    <w:rsid w:val="00B5727C"/>
    <w:rsid w:val="00B71DD7"/>
    <w:rsid w:val="00BE39FD"/>
    <w:rsid w:val="00C15614"/>
    <w:rsid w:val="00C4749A"/>
    <w:rsid w:val="00C571F9"/>
    <w:rsid w:val="00C7220E"/>
    <w:rsid w:val="00C921C8"/>
    <w:rsid w:val="00CF52BF"/>
    <w:rsid w:val="00CF541A"/>
    <w:rsid w:val="00D018FC"/>
    <w:rsid w:val="00D10251"/>
    <w:rsid w:val="00D12187"/>
    <w:rsid w:val="00D428C3"/>
    <w:rsid w:val="00D72173"/>
    <w:rsid w:val="00D72427"/>
    <w:rsid w:val="00D779B4"/>
    <w:rsid w:val="00DC2128"/>
    <w:rsid w:val="00DD09F2"/>
    <w:rsid w:val="00DD2805"/>
    <w:rsid w:val="00DD766B"/>
    <w:rsid w:val="00DF3570"/>
    <w:rsid w:val="00DF503C"/>
    <w:rsid w:val="00DF5396"/>
    <w:rsid w:val="00E00875"/>
    <w:rsid w:val="00E010E5"/>
    <w:rsid w:val="00E066E3"/>
    <w:rsid w:val="00E15606"/>
    <w:rsid w:val="00E236E0"/>
    <w:rsid w:val="00E546E6"/>
    <w:rsid w:val="00E63074"/>
    <w:rsid w:val="00E8706C"/>
    <w:rsid w:val="00EB7457"/>
    <w:rsid w:val="00EC068B"/>
    <w:rsid w:val="00EC170E"/>
    <w:rsid w:val="00ED0D14"/>
    <w:rsid w:val="00F05159"/>
    <w:rsid w:val="00F06B9B"/>
    <w:rsid w:val="00F212F2"/>
    <w:rsid w:val="00F52E4F"/>
    <w:rsid w:val="00F54D59"/>
    <w:rsid w:val="00F60945"/>
    <w:rsid w:val="00F73C3D"/>
    <w:rsid w:val="00FA35A0"/>
    <w:rsid w:val="00FB68C8"/>
    <w:rsid w:val="00FC1E05"/>
    <w:rsid w:val="00FC5665"/>
    <w:rsid w:val="00FD43D9"/>
    <w:rsid w:val="00FE25F0"/>
    <w:rsid w:val="00FF4B2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0F951-D696-4EA2-81BF-75F8318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085CC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85CCA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5CCA"/>
    <w:pPr>
      <w:widowControl w:val="0"/>
      <w:tabs>
        <w:tab w:val="left" w:pos="11199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085CCA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85CCA"/>
    <w:pPr>
      <w:ind w:left="720"/>
      <w:contextualSpacing/>
    </w:pPr>
  </w:style>
  <w:style w:type="paragraph" w:customStyle="1" w:styleId="Default">
    <w:name w:val="Default"/>
    <w:rsid w:val="00085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5C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1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8A5E-724C-4F20-9F3C-BBA55A72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Zarina Taja</dc:creator>
  <cp:lastModifiedBy>Enkeleda Kuci</cp:lastModifiedBy>
  <cp:revision>12</cp:revision>
  <cp:lastPrinted>2017-10-23T10:46:00Z</cp:lastPrinted>
  <dcterms:created xsi:type="dcterms:W3CDTF">2017-10-23T09:12:00Z</dcterms:created>
  <dcterms:modified xsi:type="dcterms:W3CDTF">2017-10-23T15:34:00Z</dcterms:modified>
</cp:coreProperties>
</file>